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 modification of electrically conductive coatings that provides chemical and electrochemical reduction of not-noble metal sulfides in solution containing bivalent metal ions of iron sub`group` (iron, cobalt, nickel). In case of electrochemical reduction the cathode potential is used egual to or slightly exceeds discarge potential of iron ions containing in reduction solution. Bivalent metal ions of iron sub`group` or mixtures thereof containing in the solution of chemical or electrochemical reduction are present in amount not less than 0,005 mol/L.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