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pramonei, būtent, duonos ir pyrago kepinių gamybai. Išradimo tikslas - pagerinti ruginės duonos kokybę ir maistines savybes, pridedant skaidulinių medžiagų, mineralinių medžiagų ir vitaminų. Į ruginės duonos sudėtį įeina sekantys komponentai, kg: sijoti ruginiai miltai arba pasijoti rupiniai 61-87; kvietiniai miltai 10-35; maistinės ruginės sėlenos 3-4; mielės 0,5-1,0;  kmynai 0,5-2,0; valgomoji druska (NaCl) 1,5-1,7; priedai: mineralinės medžiagos: magnio preparatai, turintys 50,0-60,0 mg magnio (Mg); kalcio preparatai, turintys 110,0-122 mg kalcio (Ca); jodo preparatai, turintys 22,0-32,0 mg jodo (J); vitaminai: vitaminas D 1,10-1,12 mg; folio rūgštis 19,0-21,0 mg. 45-47 % drėgnio tešlos gavimo eiga: saldaus plikinio paruošimas, rauginto plikinio gavimas, įmaišo iš rauginto plikinio ir raugo gavimas. Maistines rugines sėlenas sudeda į saldų plikinį, o mineralines medžiagas, nurodytas sudėtyje ir vitaminus - į tešlą.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