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gerai žinomo antidepresinio vaisto escitalopramo kristaline baze, S-1-[3-(dimetilamino)propil]-1-(4-fluorfenil)-1,3-dihidro-5-izobenzofurankarbonitrilu, šios bazės kompozicijomis, išgrynintų escitalopramo druskų, tokių kaip oksalatas, gavimo būdu, panaudojant bazę, druskomis, gautomis šiuo būdu ir šias druskas turinčiomis kompozicijomis ir gryno escitalopramo laisvos bazės arba escitalopramo druskų, tokių kaip oksalatai, gavimo būdu, panaudojant hidrobromidą, šiuo būdu gautomis druskomis ir šias druskas turinčiomis kompozicijomis. Pagaliau, šis išradimas susijęs su burnoje suyrančiomis tabletėmis, turinčiomis mažiausiai 22 N kietumą ir dezintegracijos burnoje laiką, mažesnį negu 120s ir apimančiomis aktyvų farmacinį ingredientą, adsorbuotą ant vandenyje tirpaus užpildo, kur minėtas aktyvus farmacinis ingredientas turi lydymosi tašką 40-100 oC intervale, taip pat kaip ir su tokių burnoje suyrančių tablečių gamybos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