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psychology and pedagogy and may be used to compensate person‘s psycho-physiological and/or psycho-emotional status and to eliminate person‘s neurastenic response. The method of visual modelling of person‘s individual information claimed comprises interviewing a person and generating his response to particular events in his life; then the generated emotional status transforming to a wavy curve and/or a broken line which is obtained when the investigated person cuts two squares situated one above another, the square of colour that generates positive emotions being on the top and the square of colour that generates negative emotions being on the bottom. During the second stage a person investigated combines devided parts of colourful squares in a manner he likes and on the base of the configuration and colours of obtained figure the analysis of transfered information is carried out.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