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biotechnology environmental microbiology and environmental protection areas and the appropriate use of water and soil pollution levels to assess, to search for new oil fields, water and soil contaminated oil and petroleum products, ex situ biological treatment or in situ conditions to evaluate the intensity. Oil-oxidising microorganisms (OOM) obtained getting into the media petroleum products, the main biogenic elements of nutrition. Microorganisms cultivate under aerobic conditions and favorable temperature regime and OOM with their different physiological-biochemical characteristics, the good development of the medium is attached to the oil and carbohydrate as a carbon source, carbon balance, nitrogen, phosphorus, potassium between the quantities, adding trace elements, vitamins, chelating agents, those are basic to intensity the activities of resolving microorganisms. OOM medium, called medium 'Liužino-GVT', include oil products, the main dietary biogenic elements, nitrogen, phosphorus, potassium, magnesium, calcium, oil, sucrose (or molasses), soybean meal, beer wine, NaNO3, KH2PO4, K2HPO4, MgSO4x7H2O, CaCl2x6H2O, FeSO4x7H2O; trace elements salts: ZnSO4x6H2O, MnSO4x4H2O, KJ, H3BO4, (NH4)6Mo7O24x7H2O, CuSO4x5H2O, CoCl2x6H2O; vitamins: thiamine (B1), riboflavin (B2), pantothenic acid (B5), nicotinic acid (PP), pyridoxine (B6); chelating agents EDTA (ethylenediaminetetraacetic acid) and water.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