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skystųjų trąšų gamybos sričiai ir gali būti panaudotas gaminant skystąsias kalcio nitrato trąšas. Skystosios kalcio nitrato trąšos gaunamos iš 30-57 % koncentracijos azoto rūgšties tirpalo ir negesintų kalkių. Šiose trąšose kalcio nitrato koncentracija yra 34-58,6 %, o jų maisto medžiagų sudėtis yra sekanti, masės %: azotas 5,8 – 10, kalcis 11,6-20, magnis 0,5-2, 0. Šių trąšų gavimo būdas apima negesintų kalkių laipsnišką skaidymą azoto rūgšties tirpalu, gauto reakcijos mišinio neutralizavimą ir standartizavimą negesintomis kalkėmis, standartizuoto tirpalo nusistovėjimą, po to gautos kalcio nitrato suspensijos atskyrimą nuo nuosėdų ir nuosėdų arba nuosėdų ir atskirtos suspensijos filtravimą. Gaunama du produktai: pirmasis produktas – skystosios kalcio nitrato trąšos (suspensijos pavidalo), tinkamos augalams papildomai tręšti purškiant, ir antrasis produktas (po filtravimo) - skystosios kalcio nitrato trąšos, kurios atitinka hidroponikos reikalavimus ir tinka pagrindiniam ir papildomam augalų tręšimui. Šiose trąšose yra didesnis kalcio ir mažesnis azoto kiekis, jos gautos nesudėtingu būdu iš vietinių žaliavų.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