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kėdutė skirta vaikų darbui ir poilsiui, lavinimui bei reabilitacijai sėdimoje padėtyje, yra tinkama: cerebrinio paralyžiaus, paraplegijos, paraparezės, tetraplegijos, tetraparezės atvejais, taip pat po stuburo pažeidimų – kaklo, krūtinės, liemens srityse. Šios kėdutės pagrindą sudaro dvigubo rėmo konstrukcija ir sliekinis reguliavimo mechanizmas, kurie užtikrina tolygų ir tikslų kėdutės padėties pasukimą/keitimą nuo sėdimos/darbo padėties į pusiau (daugiau arba mažiau) gulimą poilsio padėtį arba atvirkščiai. Taip pat ši dvigubo rėmo konstrukcija bei sliekinis reguliavimo mechanizmas užtikrina konstrukcijos tvirtumą, saugumą, padėties pakeitimo tolygumą, tikslumą, patikimumą bei ilgą tarnavimo laiką. Dvigubo rėmo konstrukcija susideda iš išorinio ir vidinio rėmų, kurie, naudojant minėtus sliekinius reguliavimo mechanizmus, gali judėti vienas kito atžvilgiu. Konstrukcijoje nėra jokių spyruoklių arba mechaninių fiksatorių, susilpninančių konstrukcijos patikimumą. Visos/dauguma konstrukcijos dalių yra pagamintos iš medienos ir suteikia vaikui su negalia akiai bei kūnui/odai malonų raminantį poveikį bei komfortą.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