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lazerinių technologijų sričiai ir yra skirtas tiesioginiams periodinių struktūrų plonuose sluoksniuose formavimo būdams ir gali būti panaudotas gaminti periodines struktūras (gardeles), skirtas spektriniams, matavimo ir kitiems optiniams prietaisams bei ekranavimui. Išradimu siekiama tiesiogiai be tarpinių sluoksnių (fotorezistas) ir papildomų operacijų (fotorezisto užnešimas,  ryškinimas, cheminis ėsdinimas) formuoti periodines struktūras ir valdyti skirtingo piešinio (rašto, vaizdo) periodinių struktūrų formavimą. Į ploną medžiagos sluoksnį nukreipia tris arba keturis arba šešis lazerio pluoštus, kad sluoksnyje interferuodami sudarytų periodinį lazerio spinduliuotės intensyvumo skirstinį. Interferencinio vaizdo didelio intensyvumo zonose sluoksnio medžiagą išgarina, o   išlikusi sluoksnio medžiaga suformuoja periodinę struktūrą, atitinkančią interferencinio vaizdo mažo intensyvumo zonų išsidėstymui. Formuojamos periodinės struktūros piešinį (raštą, vaizdą) keičia,keičiant nukreipiamų į minėtą sluoksnį interferuojančių lazerio pluoštų bendrą intensyvumo dydį, tenkinant sąlygą, kad minėtas bendras intensyvumo dydis suformuoto intensyvumo skirstinio maksimumuosebūtų didesnis už minėto sluoksnio nugarinimo slenkstinį intensyvumą.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