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Genų inžinerijos būdu iš hibridomos 9B4 (DSM ACC2991) gautas rekombinantinis antikūno fragmentas scFv. Jis buvo sėkmingai išgrynintas ir parodytas jo specifiškumas VLY citolizinui iš G.vaginalis bakterijų ir efektyvi citolitinio aktyvumo neutralizacija. Išradimo pavyzdžiai parodo, kad rekombinantinis antikūno fragmentas scFv gali būti naudojamas terapiniais ir profilaktiniais tikslais gydant patologijas, sukeltas G.vaginalis infekcijos, arba išvengiant jų. Gauti viengrandžiai antikūno fragmentai (scFv) atskleidė svarbius privalumus prieš tradiciniu keliu gautus monokloninius antikūnus: pagaminti scFv galima paprastesniu ir pigesniu bakterinės biosintezės būdu, dėl mažesnės molekulinės masės tokie baltymai lengviau prasiskverbia į infekcijos pažeistus audinius.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