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Recombinant antibody fragment scFv was obtained from hybridoma 9B4 (DSM ACC2991) by genetic engineering method.  It was purified successfully and its specific activity towards VLY cytolysin from G. vaginalis was disclosed, as well as effective neutralization of cytolytic activity. As demonstrated by the invention the recombinant antibody fragment scFv may be used for therapy and prevention of pathology caused by G. vaginalis. Single stranded antibody fragments thus obtained reveals important advantages against traditionally obtained monoclonal antibodies: they may be prepared by simpler and cheaper process of bacterial biosynthesis; due to smaller molecular weight such proteins penetrates easier into tissues affected by infection.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