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paruošti puslaidininkio padėklą, padengti jį atitinkamu pasyvaciniu sluoksniu bei suformuoti minėtame pasyvaciniame sluoksnyje nustatytose vietose užduotos formos ir dydžio langelius, siekiant atverti puslaidininkio paviršių technologiniam apdirbimui, ypač selektyviam cheminiam metalo nusodinimui. Tokiu būdu paruoštą sudėtinį elementą galima naudoti įvairių puslaidininkinių  prietaisų gamyboje, ypač saulės elementų gamyboje. Šis langelių formavimo būdas minėtame sudėtiniame elemente pasižymi tuo, kad apima sluoksnio lazerinę abliaciją ultratrumpais femtosekundiniais (fs)   ultravioletiniais (UV) impulsais bei cheminį ėsdinimą. Šio būdo panaudojimas leidžia formuoti minėtus langelius virš puslaidininkio padėklo ant plonų legiruotų sluoksnių, plonų heterosandūrų ir kitokių plonų puslaidininkinių sluoksnių, išlaikant šių sluoksnių integralumą. Šis būdas yra bekontaktinis, todėl gali būti taikomas kontaktams suformuoti ant labai plonų ir trapių puslaidininkio arba legiruoto puslaidininkio sluoksnių, nepažeidžiant puslaidininkio paviršiaus nei mechaniškai, nei termiškai. Naudojant aukšto pasikartojimo dažnio lazerines sistemas, piešinio formavimo greitis leidžia pritaikyti šį būdą didelio pralaidumo gamybiniuose procesuose.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