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identification of material resources domain and can be used for marking of electrically conductive parts. Material resource identification method is characterized by applying  on the identification tag identification number, information grid and reproducible matrix, forming a surface by physical methods, and the introduction to the database identification number. New is that unrecognizable matrix is formed separately from the product on a nano-film stochastically by dotted evaporation of nano-film areas or forming its surface roughness and then applying on an object (product) surface.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