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pramoninės ekologijos ir statybinės keramikos gaminių sričiai ir gali būti pritaikytas keraminių mūro gaminių ar keraminių čerpių gamybai. Išradime siūlomas būdas gaminti tamsesnių atspalvių keraminius gaminius su smulkiadispersiniu vandens valymo dumblo (VVDA), kurio sudėtyje yra dažančių (geležies oksido) junginių, priedu. Keraminių gaminių formavimo masė ruošiama iš tokių komponentų: molio, liesinančio priedo (smėlio), smulkiadispersinio vandens valymo dumblo. Nauja yra tai, kad varijuojant smulkiadispersinį vandens valymo dumblo formavimo masėje kiekį ir išdegant atitinkamu režimu, gautos keraminės šukės, kurių tariamasis (bruto) sausasis tankis 1340-1995 kg/m3, gniuždymo stipris 14-53,8 N/mm2, vandens įmirkis 4,6-28,8 procentų, šis priedas keičia keraminės šukės atspalvį, todėl gali būti naudojamas tūriniam keraminių gaminių dažymui.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