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heating technology. The aim of the invention is to improve the operating efficiency of a boiler, and specifically the heating and power-generating characteristics thereof, and also to reduce emissions of harmful gases into the atmosphere during the operating process of the boiler. The patent describes a domestic boiler of novel design, which operates on solid  fuel of variable moisture content and consists of a metallic housing, a furnace, a combustion chamber, a heat exchanger, a burner with openings for feeding in heated and cold air, the burner being mounted at the transition from the furnace to the combustion chamber, an ash bin and a smoke flue. The novelty consists in that the burner, with a length from the wall of the combustion chamber to the centre thereof, is mounted horizontally in the lower part of the combustion chamber above a furnace grate, and the ash bin is equipped with a baffle plate mounted perpendicularly to the lower surface of the ash bin for restricting the entry of air into the combustion chamber from below via the furnace grate. The baffle plate is mounted movably along the length of the ash bin in order to control the  pyrolysis area above the furnace grate depending on the type of fuel, and the particle distribution and moisture content thereof. The features mentioned enable the boiler to switch rapidly to pyrolysis mode, while also improving fuel consumption efficiency and reducing emissions into the atmosphere.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