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belongs to construction industry, exactly to asphalt mixes, which have to meet enchanced requirements of resistance to long-term static loading. The aim of the invention is to design long-term static loading resistant asphalt mix with excellent mechanical and performance properties, durability and resistant to environmental effect. Long-term static loading resistant asphalt mix, which is composed of mineral aggregates mix of fractioned aggregates and mineral filler, cellulose fibre, adhesive additive and polymer modified bitumen, contains 8-11 mm, 5-8 mm, 2-5 mm crushed granite  aggregate fractions, also 0-2 mm crushed granite screenings fraction, dolomite mineral filler, when ratio of components by mass % is:8-11 mm crushed granite aggregates fraction - 40,5-41,5;5-8 mm crushed granite aggregates  fraction - 23,0-24,0;2-5 mm crushed granite aggregates  fraction - 9,0-10,0;0-2 mm crushed granite screenings fraction  - 11,5-12,5;mineral filler  - 7,0-8,0;celluse fibre - 0,30-0,40; binding agent - 0,02-0,03; bitumen - 6,0-6,2.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