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oksidų nanokristalinių klasterių gavimui ant vandenyje tirpių medžiagų, panaudojant magnetroninio garinimo metodą. Šio išradimo būdas besiskiria tuo, kad oksido pagrindo nanokristaliniai klasteriai gaunami, panaudojant magnetroninio garinimo metodą reaktyvioje (Ar:O2) aplinkoje ir sintetinant medžiagas ant vandenyje lengvai tirpių medžiagų, pavyzdžiui, druskų, kristalų. Gaunamų nanokristalinių klasterių geometrinis dydis priklauso nuo panaudojamų druskų kristalų dydžio: didėjant druskų kristalų dydžiui, didėja ir gaunamų nanokristalinių klasterių dydis. Sintezės metu paduodant didesnius darbinių dujų kiekius ir darbiniam slėgiui keičiantis nuo 1 ×10-2 mbar iki 1 ×10-1 mbar, kristalitų dydis mažėja, ir atvirkščiai – mažėjant slėgiui, kristalitų dydis didėja. Taip pat sintezės metu magnetrono galiai augant nuo 1W iki 5W tenkančių 1 cm2 ploto magnetrono paviršiui didėja garinimo greitis, tuo pačiu didėja gaunamų klasterių kristališkumo laipsnis. Aukštą gaunamų medžiagų švarumą galima pasiekti, naudojant kaip pagrindus švarias druskas (99.99 % ir didesnio grynumo).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