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refers to agricultural field and can be used for solving of feed quality problems by stopping fermented silage dehydration as the result of stopping of vinegar, butter acid bacteria and  yeast generation. Feed quality remains stable under aerobic conditions, carbohydrates and proteins do not degrade. So the feed quality may remain unchanged up to 2 years, notwithstanding weather conditions. Temperature for dehydratuion of fermented corn silage shall not exceed 55 oC, by reducing moisture content from 65 to 15 %. At dehydration output bulk weight of corn silage is reduced three-fold, that also results in three-fold reduction of feed dry matter transportation costs. The dehydrated corn silage can be milled, baled, granulated or rolles, that reduces storage areas and simplifies and enables automation of technological process for feed distribution to animals.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