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cheminiams procesams, būtent efektyvių Pt/grafeno katalizatorių gavimo būdui ir gali būti naudojamas įvairiose pramonės srityse, tokiose, kaip cheminių junginių sintezėje, kenksmingų medžiagų išmetimo dujų nukenksminime, alternatyvių energijos šaltinių, t. y. šarminių polimerinių membranų kuro elementų gamyboje, vandenilio dujų gavime. Išradimo tikslas – katalizatorių, pasižyminčių pagerintu elektrokataliziniu aktyvumu su mažesnėmis Pt dalelėmis, gavimo būdas. Tikslas pasiekiamas tuo, kad pagal šį išradimą pasiūlytame katalizatoriaus gavimo būde, kur mišinį iš@0,05-0,5 m.% grafeno miltelių, @0,02-0,1 m.% H2PtCl6, @0,039 iki 0,231 m.% Co(II) druskos,@0,04-0,633 m. % NaOH,@99,9-99,0 m.% etilenglikolio,@maišo ultragarsu 0,5-2 h, mikrobangų reaktoriuje apdoroja 140 - 200 oC temperatūroje 10 - 30 min, naudojant 300 - 850 W mikrobangų galingumą, maišo 100 - 500 aps/min, suformuoja Pt/grafeno katalizatorių, esant Pt:Co moliniams santykiams, lygiems 1:3, 1:10, 1:30 ir 1:50, ir kur gautame Pt/grafeno katalizatoriuje nusodintos Pt nanodalelės yra 1-3 nm dydžio.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