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coverage structure (7) for flexible crack is used to cover the flexible crack between the first component (8) and the second component (9) which can be connected together flexibly. The coverage structure (7) includes elastic material subject (74) and bearing block drive elastic component (71) which can move horizontally in the cavity in the elastic material subject (74). The bearing block drive  elastic component (71) includes elastic top-pressure force transmission component (711), two wedge-shaped tooth components (715, 716) which are fixedly set at both sides of elastic top-pressure force   transmission component (711), and internal thread sleeve (713) which is fixedly set at the central axis of elastic top-pressure force transmission component (711) by peripheral fixed tooth. Articulated interlinking plates (712, 714) are symmetrically set at the front and back of bearing block drive elastic component (71).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