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river cargo vessel transfer system for transfer of river cargo vessels over a land strip from one water body of another, using inclined tracks at different elevation on different sides of a dry land barrier, where elevation difference of tracks vary along the dam slopes; the horizontal tracks at the top part of the embankment are at the same elevation. Tracks are superposed relative to each other by level and length and change their position along the path of the lift. The lift comprises bogies arranged in two rows in a chess pattern and connected to the base of the river cargo vessel transfer lift, which is covered with a vibration and shock-retardant material. The lift is driven by particularly deployed means of propulsion, i.e. wire rope guide pulleys and electric winches, which pull  the wire rope, mounted at lower elevation than the bogies.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