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bioskaidžių atliekų (bioįkrovos) paruošimo anaerobiniam skaidymui bioreaktoriuje būdui, siekiant padidinti biodujų kokybę ir sumažinti teršalų - anglies dioksido CO2 ir vandenilio sulfido H2S - koncentracijas. Bioįkrovos paruošimo būdą sudaro tris pagrindiniai etapai: 1) bioanglies gamyba; 2) bioanglies smulkinimas iki 1,0 - 3,0 mm dispersiškumo; 3) bioįkrovos gamyba, t.y bioanglies maišymas su biomase santykiu 1:10. Gaminant bioanglį iš pušies ir/arba eglės, deginimo krosnyje nustatoma 750 oC temperatūra. Nustatyta, kad esant minėtai temperatūrai, pagamintos bioanglies mikroporų skersmuo siekia 10-30 µm. Dėl to metanogeninėms bakterijoms yra sudaromos palankesnės sąlygos kolonijoms sudaryti. Bioanglies taikymas bioįkrovos gamybos procese padidina CH4 koncentraciją iki 7,9 %, dėl adsorbcinių savybių sumažina CO2 ir H2S koncentracijas iki 4 % ir 0 ppm atitinkamai.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