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sričiai - kojos čiurnos sąnario konservatyviam gydymui, kurio tikslas kontroliuoti ir stabilizuoti čiurnos sąnarį siekiant pagerinti patologinę eiseną. Tikslas pasiekiamas: blauzdos atrama, iš ventralinės pusės pereina į spyruoklę, kuri eina lateraline kulkšnies dalimi anterior-posterior kryptimi iš dorsalines pusės išplatėdama jungiasi su padu, spyruoklės kraštai  yra išlenkti į lateralinę pusę. Medžiagos sluoksniai suformuoti taip, kad spyruoklės anterior-posterior kryptimi lankstumas būtų didesnis negu medialine-lateraline kryptimi. Įtvaro konstrukcijoje energija kaupiama vykstant svorio centro perkėlimui išilgai pėdos svorio centro trajektorijos, pereinant nuo atramos kulnu žingsnio fazės iki atspirties fazes ir ją atiduoda kojos pirštų atkėlimo fazėje.   Tolygiai lanksti pado konstrukcija užtikrina nuoseklesnį energijos kaupimą ir jos atlaisvinimą, nevaržo kojos pirštų lenkimosi, padidina įtvaro ilgaamžiškumą, sumažina pado įtrūkimų ir lūžimų riziką,  o auselių paaukštinimai padidina įtvaro suteikiamą šoninę atramą. Įtvaro geometrines proporcijos kinta priklausomai nuo įtvaro dydžio pagal skalę,  kuri apima visus standartinius avalynės dydžius bei  gali būti pritaikomos pagal individualius poreikius.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