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Akinių konstrukcija, apimanti viršutinį rėmelį (1), apatinį rėmelį (2), apsaugantį stiklą (3) ir akinių rėmelio kotelį (4), minėto apsaugančio stiklo (3) apatinio galo centrinė padėtis yra nustatoma su įtraukos nosies tiltelio grioveliu (301), abu minėto apsaugančio stiklo (3) viršutiniai ir apatiniai galai su pleišto formos kraštu (311), minėto viršutinio rėmelio (1) apatinė dalis ir minėto apatinio rėmelio (2) viršutinė dalis yra su anga, atitinkančia minėtą pleišto formos kraštą, minėto viršutinio rėmelio (1) abi pusės sumontuotos  su pirmuoju varžteliu (111), minėto apatinio rėmelio (2) abi pusės sumontuotos su antruoju varžteliu (211), minėtas akinių rėmelio kotelis (4) yra su dviem šakutėmis (411), minėtos šakutės (411) galas toli nuo minėto akinių rėmelio kotelio (4) sumontuotas žiedo (412) formos, minėto pirmojo varžtelio (111) ir minėto antrojo varžtelio (211) galai, einantys per minėtą žiedą (412) yra sumontuoti su veržle (413). Patogiai išardoma akinių konstrukcija, kad būtų lengva juos išardyti,  lengva prižiūrėti, siekiant sumažinti naudojimo išlaidas.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