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Reguliuojamų akinių pora,  apimanti akinių rėmelį, rėmelio strypelį,  apima akinių rėmelį (1) ir akinių rėmelio kojelę (2), sutapdintą su minėtu akinių rėmeliu (1); abu minėto akinių rėmelio (1) galai sujungti jungiamuoju elementu (3), minėtas jungiamasis elementas (3) yra su grioveliu (301), minėta akinių rėmelio kojelė (2) susideda iš kojelės elemento (201), minėtos kojelės elemento (201) kairysis galas yra įrengtas su  jungtimi, minėta jungtis tęsiasi į minėtą kojelės elementą (201), minėtos kojelės elemento (201) kairėje viršuje yra įrengta reguliavimo įduba (202), minėtos reguliavimo įdubos (202) abiejų pusių griovelio sienelės yra įrengtos  su grioveliu, minėtas griovelis ir minėta jungtis sumontuotos bendraašiai, minėta reguliavimo įduba (202) sudaryta su sukamuoju ratuku (203) viduje, minėto sukamojo ratuko (203) abiejų galų ašis yra sumontuota su sukamuoju blokeliu (204), minėtas sukamasis blokelis (204) yra įmontuotas viduje minėto griovelio, varžtas (205) yra įmontuotas minėtame vidiniame griovelyje, išorinis skersmuo minėto varžto (205) yra mažesnis už minėto kaiščio vidinį skersmenį, minėtas varžtas (205) yra sukabinamas su minėtu sukamuoju ratuku (203),  minėto varžto (205) kairysis galas sumontuotas su jungties blokeliu (206), minėtas jungties blokelis (206) yra įtvirtintas minėtame griovelyje (301), varžtelis (311) yra tarp minėto griovelio (301) ir minėtos jungties blokelio (206). </w:t>
        <w:tab/>
        <w:t>Ši konstrukcija yra su akinių rėmeliu, galima sureguliuoti nenaudojant akinių rėmelio strypelių, kad būtų užtikrintas patikimas palaikymas ir fiksuota akinių rėmelio padėtis.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