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aprašo N4-padėtyje modifikuotus citidino nukleotidus. Pateikiama N4-modifikuotų citidino trifosfatų cheminė sintezė ir aprašomi modifikuotų citidino nukleotidų panaudojimo metodai, o taip pat ir čia pateiktų ciditino analogų pritaikymas modifikuotų nukleorūgščių sintezei. Nukleorūgštys gali būti sudarytos iš DNR, RNR ar DNR/RNR kombinacijos. Viena iš modifikuotų citidino nukleotidų panaudojimo sričių yra fermentų atranka, kur fermentai pasižymi esteraziniu, amidaziniu, oksidoreduktaziniu, liaziniu, ligaziniu ar kitu fermentiniu aktyvumu.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