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aprašymu pateikiamas naujas techninis sprendimas žmogaus girtumo lygiui nustatyti, kur minėtas sprendimas pasižymi techninėmis funkcijomis, apsaugančiomis nuo sukčiavimo, klastojimo matavimo metu, kai girtumą besitikrinantis žmogus yra nekontroliuojamas kitų suinteresuotų asmenų.  Techninis sprendimas apima matavimo būdą ir įrangą, įgyvendinančią minėtą būdą. Įrangą sudaro mažiausiai du pagrindiniai įrenginiai – išmanusis įrenginys ir alkotesteris, kur abu minėti įrenginiai turi technines priemones tarpusavio ryšiui. Šio išradimo atveju naudojamas dviejų tipų ryšys tarp alkotesterio ir išmaniojo įrenginio: optinis ir duomenų perdavimo. Optinis ryšys skirtas panaikinti galimybę sukčiauti pakeičiant alkotesterį kitokiu, panašiu daiktu; duomenų perdavimo ryšys skirtas duomenims tarp alkotesterio ir išmaniojo įrenginio perduoti. Girtumo matavimo būdą sudaro mažiausiai tokie pagrindiniai etapai: tiriamasis žmogus pozicionuoja išmanųjį įrenginį taip, kad įrenginio kameros fiksavimo lauke būtų žmogaus veidas, būtinai – lūpos kartu su alkotesteriu; matuojant alkotesteris optiniu ryšiu perduoda naudojamo alkotesterio identifikavimo signalą, patvirtinantį, kad išmanusis įrenginys fiksuoja (tuo pačiu ir tiriamasis žmogus naudoja) konkretų alkotesterį.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