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subject is the technology for identifying statistical links in the sequence of news items, adverts, or other messages. Incoming messages are classified according to several attributes. Selective reclassification is used to account for different trait assessment interpretations. The messages converted into code form an estimator matrix. To detect a pattern in a message sequence on a timescale, it is necessary to compare matrix fragments which follow either before or after messages with the same assessment value according to one or more traits. The correlation dependence with the same data filter on the superimposed time segments is assessed. If the correlation dependence for two or more matrix fragments is high, the data filter becomes narrower. Data on settings and search results are stored in the database as a pattern. The examples discovered are assessed by a person for significance. A new or repeated pattern search starts with settings combining two or more known patterns with similar message codes. The patterns with high significance assessment are more often used to create combined search settings. The data filter is additionally extended using random values. Figuratively speaking, the pattern search criteria evolve by crossing, mutation, and selection. The analysis predictive power is expressed in the assessment of probability with which the new or probable  message fits into the previously identified pattern. The past message sequence examples show what typically happens under similar circumstances. (fig.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