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47759F" w:rsidRPr="00BA3757" w14:paraId="01F08C71" w14:textId="77777777">
      <w:pPr>
        <w:rPr>
          <w:rFonts w:ascii="Arial" w:hAnsi="Arial" w:cs="Arial"/>
          <w:sz w:val="24"/>
          <w:szCs w:val="24"/>
        </w:rPr>
      </w:pPr>
      <w:bookmarkStart w:id="0" w:name="referatas"/>
      <w:r w:rsidRPr="00BA3757">
        <w:rPr>
          <w:rFonts w:ascii="Arial" w:hAnsi="Arial" w:cs="Arial"/>
          <w:sz w:val="24"/>
          <w:szCs w:val="24"/>
        </w:rPr>
        <w:t>Šiuo aprašymu pateikiami sistema ir būdas, skirti pacientui netrukdančiu būdu atpažinti, stebėti ir charakterizuoti prieširdžių aritmijas, kurios susijusios su prieširdžių virpėjimo išsivystymu ir padidėjusia išeminio smegenų insulto rizika. Sistemą sudaro dėvimas įtaisas su integruotais biosignalų jutikliais; dėvimame įtaise integruoti savaime nutrūkstančių prieširdžių aritmijų epizodų atpažinimo moduliai; serveryje arba išmaniajame įtaise naudojamas prieširdžių aritmijų epizodų pasiskirstymo charakterizavimo modulis ligos progresui vertinti. Ilgalaikės stebėsenos metu automatiškai atpažinus  nedokumentuotą prieširdžių aritmiją, ypač prieširdžių virpėjimą, gydytojui  elektroniniu paštu siunčiama aritmijos epizodo elektrokardiograma. Gydytojui patvirtinus prieširdžių virpėjimo diagnozę, pacientui  atsiunčiama rekomendacija kreiptis į kardiologą. Sistema skirta tiek tirti sveikus žmones prevenciškai, tiek stebėti ligonius su padidėjusia prieširdžių aritmijų rizika. Stebėsena gali būti atliekama gydantis ambulatoriškai; reabilitacijos ir slaugos ligoninėse; stacionare; taip pat privačiose gydymo įstaigose, teikiančiose prieširdžių aritmijų stebėsenos servisą; klinikose, personalizuotai parenkančiose antiaritminius vaistus ir jų dozes; klinikose, prognozuojančiose gydomųjų intervencijų tikslingumą ir vertinančiose jų efektyvumą; farmacijos įmonėse, vykdančiose naujų vaistų ilgalaikius klinikinius tyrimus.</w:t>
      </w:r>
      <w:bookmarkEnd w:id="0"/>
    </w:p>
    <w:sectPr>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757"/>
    <w:rsid w:val="0007627B"/>
    <w:rsid w:val="001F13EF"/>
    <w:rsid w:val="0047759F"/>
    <w:rsid w:val="00BA06F0"/>
    <w:rsid w:val="00BA3757"/>
    <w:rsid w:val="00C90D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FA1EFAE-1610-4BA2-9E5A-BEFF7792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Words>
  <Characters>5</Characters>
  <Application>Microsoft Office Word</Application>
  <DocSecurity>0</DocSecurity>
  <Lines>1</Lines>
  <Paragraphs>1</Paragraphs>
  <ScaleCrop>false</ScaleCrop>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Lenkauskas</dc:creator>
  <cp:lastModifiedBy>Edminas Vrubliauskas</cp:lastModifiedBy>
  <cp:revision>2</cp:revision>
  <dcterms:created xsi:type="dcterms:W3CDTF">2019-02-04T14:41:00Z</dcterms:created>
  <dcterms:modified xsi:type="dcterms:W3CDTF">2021-05-04T10:11:00Z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f4f1a9-ae13-4e26-ac6c-11f4c8a2f064_ActionId">
    <vt:lpwstr>5c9f9737-8757-4bd3-b971-d5ed7d8919df</vt:lpwstr>
  </property>
  <property fmtid="{D5CDD505-2E9C-101B-9397-08002B2CF9AE}" pid="3" name="MSIP_Label_5af4f1a9-ae13-4e26-ac6c-11f4c8a2f064_ContentBits">
    <vt:lpwstr>0</vt:lpwstr>
  </property>
  <property fmtid="{D5CDD505-2E9C-101B-9397-08002B2CF9AE}" pid="4" name="MSIP_Label_5af4f1a9-ae13-4e26-ac6c-11f4c8a2f064_Enabled">
    <vt:lpwstr>true</vt:lpwstr>
  </property>
  <property fmtid="{D5CDD505-2E9C-101B-9397-08002B2CF9AE}" pid="5" name="MSIP_Label_5af4f1a9-ae13-4e26-ac6c-11f4c8a2f064_Method">
    <vt:lpwstr>Privileged</vt:lpwstr>
  </property>
  <property fmtid="{D5CDD505-2E9C-101B-9397-08002B2CF9AE}" pid="6" name="MSIP_Label_5af4f1a9-ae13-4e26-ac6c-11f4c8a2f064_Name">
    <vt:lpwstr>5af4f1a9-ae13-4e26-ac6c-11f4c8a2f064</vt:lpwstr>
  </property>
  <property fmtid="{D5CDD505-2E9C-101B-9397-08002B2CF9AE}" pid="7" name="MSIP_Label_5af4f1a9-ae13-4e26-ac6c-11f4c8a2f064_SetDate">
    <vt:lpwstr>2021-05-04T10:11:43Z</vt:lpwstr>
  </property>
  <property fmtid="{D5CDD505-2E9C-101B-9397-08002B2CF9AE}" pid="8" name="MSIP_Label_5af4f1a9-ae13-4e26-ac6c-11f4c8a2f064_SiteId">
    <vt:lpwstr>65f51067-7d65-4aa9-b996-4cc43a0d7111</vt:lpwstr>
  </property>
</Properties>
</file>