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medicine and can be used for minimally invasive restoration of vascular wall functions by recanalization and stabilization of the structure of inner walls and removal of plaque formed on the surface of vascular walls. The functionality is extended by forming the vascular recanalization device from a steel tube-shaped part (1) divided in the middle along the partition (2). This creates an opportunity to deliver the desired (unlimited but dosed) amount of pharmacological substances to the required site of the damaged vessel in the time of cleaning the inner  surface of the vessel and aspirating destructive chips to stabilize the vessel wall structure after removal of the lesion tissues. This allows for simultaneous thrombolysis, stabilizing destructive thrombus fragments while avoiding distal embolization. The smooth delivery of medication and saline to the damaged vessel site is ensured by two separate ducts (4,5) formed in the waveguide with holes smaller than one millimetre at the end of the tubular waveguide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