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pasiūlyti naują technologinį sprendimą, siekiant magnetroniniu dulkinimu formuoti pagerintas funkcines plonasluoksnes dangas (titano oksido, cinko oksido, titano nitrido ir kt.), kurių darbinės savybės priklauso nuo jų kristalinės struktūros. Dangų formavimui naudojami vienu metu tą pačią medžiagą dulkinantys magnetronai, turintys skirtingo tipo (RF ar pDC) maitinimo šaltinius. Šaltinių tipų parinkimas ir jų galių reguliavimas leidžia kontroliuoti formuojamų dangų kristalinių fazių susidarymą ir atitinkamų kristalinių fazių orientacijų pasiskirstymą.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