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transporto priemonių sričiai, konkrečiai - triračių transporto priemonių valdymo įrengimams. Siūlomas kraipomos triratės transporto priemonės valdymo būdas, kai transporto priemonės judėjimo kryptis valdoma sukant vairą apie savo ašį, o transporto priemonės pasvirimas valdomas vairu, lankstant vairo veleną į dešinę ir į kairę nuo neutralios (centrinės) padėties. Siūlomos kraipomos triratės transporto priemonės konstrukcija, kuri susideda iš rėmo (1), kurio užpakalinėje dalyje sumontuoti variklis, vienratė varančioji pavara, sėdynės ir kėbulas, o priekinėje dalyje - dviratė  nepriklausoma pakaba (3) ir valdymo mechanizmas (4). Nauja yra tai, kad priekinėje dalyje ant išilginių ašių yra sumontuotas atraminis porėmis (2), o valdymo mechanizmas (4) susideda iš dviejų mazgų–  vairavimo (4a) ir kraipymo (4b), kuriuos apjungia vairas (12) su velenu (13), sumontuotu vairo įvorėje (14). Vairavimo mazgas (4a) susideda iš sukamojo judesio krypties keitimo mechaninių elementų,įjungtų tarp vairo veleno (13) ir statramsčių (9, 9a). Kraipymo mazgą (4b) sudaro svertas (19), kuris trimis taškais judamai sujungtas su rėmu (1), atraminiu porėmiu (2) ir vairo įvore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