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 -->
  <w:body>
    <w:p w:rsidR="0047759F" w:rsidRPr="00BA3757" w14:paraId="01F08C71" w14:textId="77777777">
      <w:pPr>
        <w:rPr>
          <w:rFonts w:ascii="Arial" w:hAnsi="Arial" w:cs="Arial"/>
          <w:sz w:val="24"/>
          <w:szCs w:val="24"/>
        </w:rPr>
      </w:pPr>
      <w:bookmarkStart w:id="0" w:name="referatas"/>
      <w:r w:rsidRPr="00BA3757">
        <w:rPr>
          <w:rFonts w:ascii="Arial" w:hAnsi="Arial" w:cs="Arial"/>
          <w:sz w:val="24"/>
          <w:szCs w:val="24"/>
        </w:rPr>
        <w:t>Išradimas priklauso statybos pramonės sričiai, tiksliau cementbetonio mišiniams, kuriems keliami padidinti atsparumo slydimui ir ilgalaikiškumo reikalavimai. Išradimo tikslas – sukurti atviros cementbetonio mišinį, skirtą lengvojo transporto eismo dominavimo zonų dangos dėvimajam atviros tekstūros sluoksniui įrengti, pasižymintį geromis mechaninėmis ir eksploatacinėmis savybėmis. Atviros tekstūros cementbetonio mišinys, į kurio sudėtį įeina užpildų mišinys iš frakcionuotos skaldos ir smėlio, cementas, vanduo ir betono plastiklis, b e s i s k i r i a n t i s tuo, kad užpildų mišinį mišinį sudaro 2-5 mm granito skaldos frakcija bei 0-2 mm smėlio frakcija, kai komponentų santykis masės % yra: 2-5 mm; granito skaldos frakcija –  50,0-65,0; 0-2 mm smėlio frakcija – 10,0-25,0; cementas – 15,0-20,0; betono plastiklis – 0,04-0,20; vanduo</w:t>
        <w:tab/>
        <w:t xml:space="preserve"> – 5,0-10,0.</w:t>
      </w:r>
      <w:bookmarkEnd w:id="0"/>
    </w:p>
    <w:sectPr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57"/>
    <w:rsid w:val="0007627B"/>
    <w:rsid w:val="001F13EF"/>
    <w:rsid w:val="0047759F"/>
    <w:rsid w:val="00BA06F0"/>
    <w:rsid w:val="00BA3757"/>
    <w:rsid w:val="00C90D8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A1EFAE-1610-4BA2-9E5A-BEFF7792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Andrius Lenkauskas</dc:creator>
  <cp:lastModifiedBy>Edminas Vrubliauskas</cp:lastModifiedBy>
  <cp:revision>2</cp:revision>
  <dcterms:created xsi:type="dcterms:W3CDTF">2019-02-04T14:41:00Z</dcterms:created>
  <dcterms:modified xsi:type="dcterms:W3CDTF">2021-05-04T10:11:00Z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f4f1a9-ae13-4e26-ac6c-11f4c8a2f064_ActionId">
    <vt:lpwstr>5c9f9737-8757-4bd3-b971-d5ed7d8919df</vt:lpwstr>
  </property>
  <property fmtid="{D5CDD505-2E9C-101B-9397-08002B2CF9AE}" pid="3" name="MSIP_Label_5af4f1a9-ae13-4e26-ac6c-11f4c8a2f064_ContentBits">
    <vt:lpwstr>0</vt:lpwstr>
  </property>
  <property fmtid="{D5CDD505-2E9C-101B-9397-08002B2CF9AE}" pid="4" name="MSIP_Label_5af4f1a9-ae13-4e26-ac6c-11f4c8a2f064_Enabled">
    <vt:lpwstr>true</vt:lpwstr>
  </property>
  <property fmtid="{D5CDD505-2E9C-101B-9397-08002B2CF9AE}" pid="5" name="MSIP_Label_5af4f1a9-ae13-4e26-ac6c-11f4c8a2f064_Method">
    <vt:lpwstr>Privileged</vt:lpwstr>
  </property>
  <property fmtid="{D5CDD505-2E9C-101B-9397-08002B2CF9AE}" pid="6" name="MSIP_Label_5af4f1a9-ae13-4e26-ac6c-11f4c8a2f064_Name">
    <vt:lpwstr>5af4f1a9-ae13-4e26-ac6c-11f4c8a2f064</vt:lpwstr>
  </property>
  <property fmtid="{D5CDD505-2E9C-101B-9397-08002B2CF9AE}" pid="7" name="MSIP_Label_5af4f1a9-ae13-4e26-ac6c-11f4c8a2f064_SetDate">
    <vt:lpwstr>2021-05-04T10:11:43Z</vt:lpwstr>
  </property>
  <property fmtid="{D5CDD505-2E9C-101B-9397-08002B2CF9AE}" pid="8" name="MSIP_Label_5af4f1a9-ae13-4e26-ac6c-11f4c8a2f064_SiteId">
    <vt:lpwstr>65f51067-7d65-4aa9-b996-4cc43a0d7111</vt:lpwstr>
  </property>
</Properties>
</file>