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0674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bookmarkStart w:id="0" w:name="_Hlk101855686"/>
      <w:r w:rsidRPr="00F731A5">
        <w:rPr>
          <w:rFonts w:ascii="Helvetica" w:hAnsi="Helvetica" w:cs="Helvetica"/>
          <w:sz w:val="20"/>
        </w:rPr>
        <w:t>1. Integruoto siųstuvo ir imtuvo grandynas, kurį sudaro:</w:t>
      </w:r>
    </w:p>
    <w:p w14:paraId="3B4466E8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>mažiausiai du struktūriškai identiški, nepriklausomai valdomi imtuvai [1, 2], kiekvienas iš jų yra prijungtas prie imtuvui specifinio lokalaus osciliatoriaus paskirstymo tinklo [5, 6];</w:t>
      </w:r>
    </w:p>
    <w:p w14:paraId="4A2CB928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mažiausiai du nepriklausomai valdomi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sintezatoriai [9, 10] kiekvienam imtuvui [1, 2], kiekvienas iš jų yra prijungtas prie imtuvui specifinio lokalaus osciliatoriaus paskirstymo tinklo [5, 6];</w:t>
      </w:r>
    </w:p>
    <w:p w14:paraId="30C81C6F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>mažiausiai du struktūriškai identiški nepriklausomai valdomi siųstuvai [3, 4], kiekvienas iš jų yra prijungtas prie siųstuvui specifinio lokalaus osciliatoriaus paskirstymo tinklo [7, 8];</w:t>
      </w:r>
    </w:p>
    <w:p w14:paraId="07F78D31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mažiausiai du nepriklausomai valdomi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sintezatoriai [11, 12] kiekvienam siųstuvui [3, 4], kiekvienas iš jų yra prijungtas prie siųstuvui specifinio lokalaus osciliatoriaus paskirstymo tinklo [7, 8];</w:t>
      </w:r>
    </w:p>
    <w:p w14:paraId="3EF0537D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>lokalaus aukštųjų dažnių signalo paskirstymo grandinė.</w:t>
      </w:r>
    </w:p>
    <w:p w14:paraId="24BFAF37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</w:p>
    <w:p w14:paraId="68B18B6C" w14:textId="23325EEE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2. Integruoto siųstuvo ir imtuvo </w:t>
      </w:r>
      <w:proofErr w:type="spellStart"/>
      <w:r w:rsidRPr="00F731A5">
        <w:rPr>
          <w:rFonts w:ascii="Helvetica" w:hAnsi="Helvetica" w:cs="Helvetica"/>
          <w:sz w:val="20"/>
        </w:rPr>
        <w:t>grandynas</w:t>
      </w:r>
      <w:proofErr w:type="spellEnd"/>
      <w:r w:rsidRPr="00F731A5">
        <w:rPr>
          <w:rFonts w:ascii="Helvetica" w:hAnsi="Helvetica" w:cs="Helvetica"/>
          <w:sz w:val="20"/>
        </w:rPr>
        <w:t xml:space="preserve"> pagal 1 punktą,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bet kuriame imtuve [1, 2] yra bent du radijo dažnio įėjimai su mažo triukšmo stiprinimo blokais, iš kurių bent vienas yra tiesiogiai sujungtas su kvadratūrinio maišytuvo [102, 202] įėjimu, kuris savo ruožtu yra prijungtas prie kvadratūros žemųjų dažnių bloko, susidedančio iš kanalų parinkimo filtrų ir stiprintuvų blokų [101, 201].</w:t>
      </w:r>
    </w:p>
    <w:p w14:paraId="7E3EA225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43DF6592" w14:textId="203A0C11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3. Integruoto siųstuvo ir imtuvo grandynas pagal 2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imtuvo [1, 2] bent vienas iš radijo dažnio įėjime esančio mažo triukšmo stiprintuvo [105, 205] išėjimas yra prijungtas prie maišytuvo [104, 204], kurį galima apeiti, ir kurio išėjimas gali būti išoriškai prijungtas prie kito mažo triukšmo stiprintuvo [103, 203] įėjimo per išorinį sujungimą.</w:t>
      </w:r>
    </w:p>
    <w:p w14:paraId="6C485CE4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2F208247" w14:textId="519E2EA3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4. Integruoto siųstuvo ir imtuvo </w:t>
      </w:r>
      <w:proofErr w:type="spellStart"/>
      <w:r w:rsidRPr="00F731A5">
        <w:rPr>
          <w:rFonts w:ascii="Helvetica" w:hAnsi="Helvetica" w:cs="Helvetica"/>
          <w:sz w:val="20"/>
        </w:rPr>
        <w:t>grandynas</w:t>
      </w:r>
      <w:proofErr w:type="spellEnd"/>
      <w:r w:rsidRPr="00F731A5">
        <w:rPr>
          <w:rFonts w:ascii="Helvetica" w:hAnsi="Helvetica" w:cs="Helvetica"/>
          <w:sz w:val="20"/>
        </w:rPr>
        <w:t xml:space="preserve"> pagal 3 punktą,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tuo, kad imtuvo [1, 2] maišytuvo [104, 204] lokalaus osciliatoriaus signalo įėjimas yra prijungtas prie vieno iš imtuvui specifinio lokalaus osciliatoriaus paskirstymo tinklo [6] išėjimų.</w:t>
      </w:r>
    </w:p>
    <w:p w14:paraId="0D32A38E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6AB9362E" w14:textId="32037476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5. Integruoto siųstuvo ir imtuvo </w:t>
      </w:r>
      <w:proofErr w:type="spellStart"/>
      <w:r w:rsidRPr="00F731A5">
        <w:rPr>
          <w:rFonts w:ascii="Helvetica" w:hAnsi="Helvetica" w:cs="Helvetica"/>
          <w:sz w:val="20"/>
        </w:rPr>
        <w:t>grandynas</w:t>
      </w:r>
      <w:proofErr w:type="spellEnd"/>
      <w:r w:rsidRPr="00F731A5">
        <w:rPr>
          <w:rFonts w:ascii="Helvetica" w:hAnsi="Helvetica" w:cs="Helvetica"/>
          <w:sz w:val="20"/>
        </w:rPr>
        <w:t xml:space="preserve"> pagal 2 punktą,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imtuvo [1, 2] kvadratūros maišytuve [102, 202] kvadratūros signalo generatoriaus įėjimas yra prijungtas prie vieno iš imtuvui specifinio lokalių osciliatorių paskirstymo tinklo išėjimų [5, 6].</w:t>
      </w:r>
    </w:p>
    <w:p w14:paraId="5E607A5F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36436B6C" w14:textId="5ABDEDF1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6. Integruoto siųstuvo ir imtuvo </w:t>
      </w:r>
      <w:proofErr w:type="spellStart"/>
      <w:r w:rsidRPr="00F731A5">
        <w:rPr>
          <w:rFonts w:ascii="Helvetica" w:hAnsi="Helvetica" w:cs="Helvetica"/>
          <w:sz w:val="20"/>
        </w:rPr>
        <w:t>grandynas</w:t>
      </w:r>
      <w:proofErr w:type="spellEnd"/>
      <w:r w:rsidRPr="00F731A5">
        <w:rPr>
          <w:rFonts w:ascii="Helvetica" w:hAnsi="Helvetica" w:cs="Helvetica"/>
          <w:sz w:val="20"/>
        </w:rPr>
        <w:t xml:space="preserve"> pagal 2 punktą,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imtuvo [1, 2] kvadratūros žemųjų dažnių bloko [101, 201] kanalo pasirinkimo filtro praleidžiamųjų dažnių juosta ir stiprintuvo stiprinimas yra valdomi.</w:t>
      </w:r>
    </w:p>
    <w:p w14:paraId="537CF110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7B38E30D" w14:textId="0D0EC254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7. Integruoto siųstuvo ir imtuvo grandynas pagal 1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tuo, kad bet kuriame siųstuve [3, 4] yra bent du radijo dažnio išėjimai su stiprinimo blokais, iš kurių bent vienas yra tiesiogiai sujungtas su kvadratūrinio maišytuvo [302, 402] išėjimu, kuris savo ruožtu yra prijungtas prie kvadratūros žemųjų dažnių bloko, sudaryto iš kanalų parinkimo filtrų ir stiprintuvų blokų [301, 401].</w:t>
      </w:r>
    </w:p>
    <w:p w14:paraId="506B6DAC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445B3461" w14:textId="1808B8F3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8. Integruoto siųstuvo ir imtuvo grandynas pagal 7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tuo, kad siųstuvo [3, 4] bent vienas iš radijo dažnio galios stiprintuvo [303, 403] išėjimas gali būti išoriškai prijungtas prie maišytuvo [304, 404], kurį galima apeiti, ir kurio išėjimas yra sujungtas su papildomu galios stiprintuvo įėjimu [305, 405].</w:t>
      </w:r>
    </w:p>
    <w:p w14:paraId="79F53F5B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508C8942" w14:textId="5CEE7F8F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lastRenderedPageBreak/>
        <w:t xml:space="preserve">9. Integruoto siųstuvo ir imtuvo grandynas pagal 8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siųstuvo [3, 4] maišytuvo [304, 404] lokalaus osciliatoriaus signalo įėjimas yra prijungtas prie vieno iš siųstuvui specifinio lokalaus osciliatoriaus paskirstymo tinklo [8] išėjimų.</w:t>
      </w:r>
    </w:p>
    <w:p w14:paraId="3A7A84EA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0949D9FB" w14:textId="5CD0EF2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10. Integruoto siųstuvo ir imtuvo grandynas pagal 7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siųstuvo [3, 4] kvadratūriniame maišytuve [302, 402] kvadratūros signalo generatoriaus įėjimas yra prijungtas prie vieno iš siųstuvui specifinių lokalių osciliatorių paskirstymo tinklo išėjimų [7, 8].</w:t>
      </w:r>
    </w:p>
    <w:p w14:paraId="713C24E8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2B60D75C" w14:textId="29D0A33E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11. Integruoto siųstuvo ir imtuvo grandynas pagal 7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tuo, kad siųstuvo [3, 4] kvadratūros žemųjų dažnių bloko [301, 401] kanalo pasirinkimo filtro praleidžiamųjų dažnių juosta ir stiprintuvo stiprinimas yra valdomi.</w:t>
      </w:r>
    </w:p>
    <w:p w14:paraId="3D32C0A9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5F15DDDF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12. Integruoto siųstuvo ir imtuvo grandynas pagal 1 punktą, b e s i s k i r i a n t i s tuo, kad jo lokalūs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sintezatoriai [9, 10, 11, 12] yra struktūriškai identiški, nepriklausomai valdomi ir sukuria lokalų </w:t>
      </w:r>
      <w:proofErr w:type="spellStart"/>
      <w:r w:rsidRPr="00F731A5">
        <w:rPr>
          <w:rFonts w:ascii="Helvetica" w:hAnsi="Helvetica" w:cs="Helvetica"/>
          <w:sz w:val="20"/>
        </w:rPr>
        <w:t>F</w:t>
      </w:r>
      <w:r w:rsidRPr="00F731A5">
        <w:rPr>
          <w:rFonts w:ascii="Helvetica" w:hAnsi="Helvetica" w:cs="Helvetica"/>
          <w:sz w:val="20"/>
          <w:vertAlign w:val="subscript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aukštųjų dažnių signalą, kur lokalų osciliatorių galima derinti bent jau nuo </w:t>
      </w:r>
      <w:proofErr w:type="spellStart"/>
      <w:r w:rsidRPr="00F731A5">
        <w:rPr>
          <w:rFonts w:ascii="Helvetica" w:hAnsi="Helvetica" w:cs="Helvetica"/>
          <w:sz w:val="20"/>
        </w:rPr>
        <w:t>F</w:t>
      </w:r>
      <w:r w:rsidRPr="00F731A5">
        <w:rPr>
          <w:rFonts w:ascii="Helvetica" w:hAnsi="Helvetica" w:cs="Helvetica"/>
          <w:sz w:val="20"/>
          <w:vertAlign w:val="subscript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iki </w:t>
      </w:r>
      <w:proofErr w:type="spellStart"/>
      <w:r w:rsidRPr="00F731A5">
        <w:rPr>
          <w:rFonts w:ascii="Helvetica" w:hAnsi="Helvetica" w:cs="Helvetica"/>
          <w:sz w:val="20"/>
        </w:rPr>
        <w:t>F</w:t>
      </w:r>
      <w:r w:rsidRPr="00F731A5">
        <w:rPr>
          <w:rFonts w:ascii="Helvetica" w:hAnsi="Helvetica" w:cs="Helvetica"/>
          <w:sz w:val="20"/>
          <w:vertAlign w:val="subscript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/ 2,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sintezatorius gali veikti sveikojo skaičiaus-N ir trupmeninio-N režimu, o jo išėjimo dalyje yra </w:t>
      </w:r>
      <w:proofErr w:type="spellStart"/>
      <w:r w:rsidRPr="00F731A5">
        <w:rPr>
          <w:rFonts w:ascii="Helvetica" w:hAnsi="Helvetica" w:cs="Helvetica"/>
          <w:sz w:val="20"/>
        </w:rPr>
        <w:t>2</w:t>
      </w:r>
      <w:r w:rsidRPr="00F731A5">
        <w:rPr>
          <w:rFonts w:ascii="Helvetica" w:hAnsi="Helvetica" w:cs="Helvetica"/>
          <w:i/>
          <w:sz w:val="20"/>
          <w:vertAlign w:val="superscript"/>
        </w:rPr>
        <w:t>n</w:t>
      </w:r>
      <w:proofErr w:type="spellEnd"/>
      <w:r w:rsidRPr="00F731A5">
        <w:rPr>
          <w:rFonts w:ascii="Helvetica" w:hAnsi="Helvetica" w:cs="Helvetica"/>
          <w:sz w:val="20"/>
        </w:rPr>
        <w:t xml:space="preserve"> daliklis, kur </w:t>
      </w:r>
      <w:r w:rsidRPr="00F731A5">
        <w:rPr>
          <w:rFonts w:ascii="Helvetica" w:hAnsi="Helvetica" w:cs="Helvetica"/>
          <w:i/>
          <w:sz w:val="20"/>
        </w:rPr>
        <w:t>n</w:t>
      </w:r>
      <w:r w:rsidRPr="00F731A5">
        <w:rPr>
          <w:rFonts w:ascii="Helvetica" w:hAnsi="Helvetica" w:cs="Helvetica"/>
          <w:sz w:val="20"/>
        </w:rPr>
        <w:t xml:space="preserve"> yra sveikas skaičius ir yra lygus arba didesnis už 0.</w:t>
      </w:r>
    </w:p>
    <w:p w14:paraId="64EDA2FB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0B925167" w14:textId="3503D7B3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13. Integruoto siųstuvo ir imtuvo grandynas pagal 1 punktą,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tuo, kad jo lokalaus osciliatoriaus paskirstymo grandinę sudaro:</w:t>
      </w:r>
    </w:p>
    <w:p w14:paraId="07498435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mažiausiai du tarpusavyje sujungti imtuvui specifiniai lokalaus aukštųjų dažnių signalo paskirstymo tinklai [5, 6], kurių kiekvienas yra sujungtas su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sintezatoriumi [9, 10] ir imtuvu [1, 2];</w:t>
      </w:r>
    </w:p>
    <w:p w14:paraId="2A61AA0A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mažiausiai du tarpusavyje sujungti siųstuvo specifiniai lokalaus aukštųjų dažnių signalo paskirstymo tinklai [7, 8], kurių kiekvienas yra sujungtas su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sintezatoriumi [11, 12] ir siųstuvu [3, 4].</w:t>
      </w:r>
    </w:p>
    <w:p w14:paraId="7FC511BA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</w:p>
    <w:p w14:paraId="46461371" w14:textId="3AE42110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14. Integruoto siųstuvo ir imtuvo </w:t>
      </w:r>
      <w:proofErr w:type="spellStart"/>
      <w:r w:rsidRPr="00F731A5">
        <w:rPr>
          <w:rFonts w:ascii="Helvetica" w:hAnsi="Helvetica" w:cs="Helvetica"/>
          <w:sz w:val="20"/>
        </w:rPr>
        <w:t>grandynas</w:t>
      </w:r>
      <w:proofErr w:type="spellEnd"/>
      <w:r w:rsidRPr="00F731A5">
        <w:rPr>
          <w:rFonts w:ascii="Helvetica" w:hAnsi="Helvetica" w:cs="Helvetica"/>
          <w:sz w:val="20"/>
        </w:rPr>
        <w:t xml:space="preserve"> pagal 13 punktą,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 </w:t>
      </w:r>
      <w:r w:rsidR="00F57039"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jo lokalūs aukštųjų dažnių signalo paskirstymo tinklai [5, 6, 7, 8] yra sudaryti tik iš 1–2 signalo skirstytuvo [13] ir 2–1 signalo </w:t>
      </w:r>
      <w:proofErr w:type="spellStart"/>
      <w:r w:rsidRPr="00F731A5">
        <w:rPr>
          <w:rFonts w:ascii="Helvetica" w:hAnsi="Helvetica" w:cs="Helvetica"/>
          <w:sz w:val="20"/>
        </w:rPr>
        <w:t>tankintuvo</w:t>
      </w:r>
      <w:proofErr w:type="spellEnd"/>
      <w:r w:rsidRPr="00F731A5">
        <w:rPr>
          <w:rFonts w:ascii="Helvetica" w:hAnsi="Helvetica" w:cs="Helvetica"/>
          <w:sz w:val="20"/>
        </w:rPr>
        <w:t xml:space="preserve"> </w:t>
      </w:r>
      <w:proofErr w:type="spellStart"/>
      <w:r w:rsidRPr="00F731A5">
        <w:rPr>
          <w:rFonts w:ascii="Helvetica" w:hAnsi="Helvetica" w:cs="Helvetica"/>
          <w:sz w:val="20"/>
        </w:rPr>
        <w:t>grandynų</w:t>
      </w:r>
      <w:proofErr w:type="spellEnd"/>
      <w:r w:rsidRPr="00F731A5">
        <w:rPr>
          <w:rFonts w:ascii="Helvetica" w:hAnsi="Helvetica" w:cs="Helvetica"/>
          <w:sz w:val="20"/>
        </w:rPr>
        <w:t xml:space="preserve"> [14].</w:t>
      </w:r>
    </w:p>
    <w:p w14:paraId="0964AE18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7677929A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15.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jo pirmąjį imtuvo [1] lokalaus aukštųjų dažnių signalo paskirstymo tinklą [5] sudaro trys 1–2 signalo skirstytuvai [500, 502, 504] ir du 2–1 signalo </w:t>
      </w:r>
      <w:proofErr w:type="spellStart"/>
      <w:r w:rsidRPr="00F731A5">
        <w:rPr>
          <w:rFonts w:ascii="Helvetica" w:hAnsi="Helvetica" w:cs="Helvetica"/>
          <w:sz w:val="20"/>
        </w:rPr>
        <w:t>tankintuvai</w:t>
      </w:r>
      <w:proofErr w:type="spellEnd"/>
      <w:r w:rsidRPr="00F731A5">
        <w:rPr>
          <w:rFonts w:ascii="Helvetica" w:hAnsi="Helvetica" w:cs="Helvetica"/>
          <w:sz w:val="20"/>
        </w:rPr>
        <w:t xml:space="preserve"> [501, 503]; ir kad jis turi du įėjimus - signalą iš pirmojo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[9] ir pirmojo siųstuvo lokalaus aukštųjų dažnių signalo paskirstymo tinklo [7]; ir kad jis turi tris išėjimus - signalą į antrojo imtuvo lokalaus aukštųjų dažnių signalo paskirstymo tinklą [6], pirmojo imtuvo kvadratūros maišytuvą [102] ir į antrojo siųstuvo lokalaus aukštųjų dažnių signalo paskirstymo tinklą [8].</w:t>
      </w:r>
    </w:p>
    <w:p w14:paraId="64400D83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08534644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16.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jo antrąjį imtuvo [2] lokalaus aukštųjų dažnių signalo paskirstymo tinklą [6] sudaro keturi 1–2 signalo skirstytuvai [600, 601, 602, 604] ir trys 2–1 signalo </w:t>
      </w:r>
      <w:proofErr w:type="spellStart"/>
      <w:r w:rsidRPr="00F731A5">
        <w:rPr>
          <w:rFonts w:ascii="Helvetica" w:hAnsi="Helvetica" w:cs="Helvetica"/>
          <w:sz w:val="20"/>
        </w:rPr>
        <w:t>tankintuvai</w:t>
      </w:r>
      <w:proofErr w:type="spellEnd"/>
      <w:r w:rsidRPr="00F731A5">
        <w:rPr>
          <w:rFonts w:ascii="Helvetica" w:hAnsi="Helvetica" w:cs="Helvetica"/>
          <w:sz w:val="20"/>
        </w:rPr>
        <w:t xml:space="preserve"> [603, 605, 606]; ir kad jis turi tris įėjimus - signalą iš antrojo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[10], pirmojo imtuvo lokalaus aukštųjų dažnių signalo paskirstymo tinklo [5] ir antrojo siųstuvo lokalaus aukštųjų dažnių signalo paskirstymo tinklo [8]; ir kad jis turi keturis išėjimus - signalą į antrąjį imtuvo kvadratūrinį maišytuvą [202], pirmąjį ir antrąjį imtuvo maišytuvą [104, 204] ir į antrąjį siųstuvo lokalaus aukštųjų dažnių signalo paskirstymo tinklą [8].</w:t>
      </w:r>
    </w:p>
    <w:p w14:paraId="7DBB52DA" w14:textId="77777777" w:rsidR="00F731A5" w:rsidRPr="00F731A5" w:rsidRDefault="00F731A5" w:rsidP="00F731A5">
      <w:pPr>
        <w:pStyle w:val="Betarp"/>
        <w:suppressAutoHyphens w:val="0"/>
        <w:spacing w:line="360" w:lineRule="auto"/>
        <w:rPr>
          <w:rFonts w:ascii="Helvetica" w:hAnsi="Helvetica" w:cs="Helvetica"/>
          <w:sz w:val="20"/>
        </w:rPr>
      </w:pPr>
    </w:p>
    <w:p w14:paraId="16665F39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17.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jo pirmąjį siųstuvo [3] lokalaus aukštųjų dažnių signalo paskirstymo tinklą [7] sudaro vienas 1–2 signalo skirstytuvas [700] ir vienas 2–1 signalo </w:t>
      </w:r>
      <w:proofErr w:type="spellStart"/>
      <w:r w:rsidRPr="00F731A5">
        <w:rPr>
          <w:rFonts w:ascii="Helvetica" w:hAnsi="Helvetica" w:cs="Helvetica"/>
          <w:sz w:val="20"/>
        </w:rPr>
        <w:t>tankintuvas</w:t>
      </w:r>
      <w:proofErr w:type="spellEnd"/>
      <w:r w:rsidRPr="00F731A5">
        <w:rPr>
          <w:rFonts w:ascii="Helvetica" w:hAnsi="Helvetica" w:cs="Helvetica"/>
          <w:sz w:val="20"/>
        </w:rPr>
        <w:t xml:space="preserve"> [701]; ir kad jis turi vieną įėjimo signalą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[11]; ir kad jis turi tris išėjimus - signalus į antrąjį siųstuvo lokalaus aukštųjų dažnių signalo paskirstymo tinklą [8], pirmąjį siųstuvo kvadratūrinį maišytuvą [302] ir į pirmąjį imtuvo lokalaus aukštųjų dažnių signalo paskirstymo tinklą [5].</w:t>
      </w:r>
    </w:p>
    <w:p w14:paraId="705FC214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24A57832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18.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jo antrąjį siųstuvo [4] lokalaus aukštųjų dažnių signalo paskirstymo tinklą [8] sudaro penki 1–2 signalo skirstytuvai [800, 802, 803, 805, 806] ir keturi 2–1 signalo </w:t>
      </w:r>
      <w:proofErr w:type="spellStart"/>
      <w:r w:rsidRPr="00F731A5">
        <w:rPr>
          <w:rFonts w:ascii="Helvetica" w:hAnsi="Helvetica" w:cs="Helvetica"/>
          <w:sz w:val="20"/>
        </w:rPr>
        <w:t>tankintuvai</w:t>
      </w:r>
      <w:proofErr w:type="spellEnd"/>
      <w:r w:rsidRPr="00F731A5">
        <w:rPr>
          <w:rFonts w:ascii="Helvetica" w:hAnsi="Helvetica" w:cs="Helvetica"/>
          <w:sz w:val="20"/>
        </w:rPr>
        <w:t xml:space="preserve"> [801, 803, 804, 807]; ir kad jis turi keturis įėjimus - signalus iš ketvirtojo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[12], pirmojo ir antrojo imtuvo lokalaus aukštųjų dažnių signalo paskirstymo tinklo [5, 6] ir pirmojo siųstuvo lokalaus aukštųjų dažnių signalo paskirstymo tinklo [7]; ir kad jis turi keturis išėjimus - signalus į antrąjį siųstuvo kvadratūrinį maišytuvą [402], pirmąjį ir antrąjį siųstuvo maišytuvą [304, 404] ir į antrąjį imtuvo lokalaus aukštųjų dažnių signalo paskirstymo tinklą [6].</w:t>
      </w:r>
    </w:p>
    <w:p w14:paraId="7B00E49C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6C4F3BB1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19.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kai signalas iš pirmojo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[9] išėjimo yra nukreipiamas į pirmojo imtuvo kvadratūrinio maišytuvo [102] įėjimą per pirmąjį imtuvo lokalaus aukštųjų dažnių signalo paskirstymo tinklą [5]; ir kai signalas iš antrojo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[10] išėjimo yra nukreipiamas į antrojo imtuvo kvadratūrinio maišytuvo [202] įėjimą per antrojo imtuvo lokalaus aukštųjų dažnių signalo paskirstymo tinklą [6]; ir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yra nukreipiamas į pirmąjį siųstuvo kvadratūrinio maišytuvo [302] įėjimą per pirmąjį siųstuvo lokalaus aukštųjų dažnių signalo paskirstymo tinklą [7]; ir kai signalas iš ketvirtojo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[12] išėjimo nukreipiamas į antrąjį siųstuvą kvadratūrinio maišytuvo [402] įėjimą per antrąjį siųstuvo lokalaus aukštųjų dažnių signalo paskirstymo tinklą [8], jis įgyvendina tiesioginio dažnio keitimo architektūrą, turinčią du nepriklausomus radijo dažnio siųstuvo-imtuvo traktus, sukonfigūruotus dažninio tankinimo dupleksui integruotame siųstuvo ir imtuvo grandyne pagal 1 punktą.</w:t>
      </w:r>
    </w:p>
    <w:p w14:paraId="36B1DB6E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603BD49D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20.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kai signalas iš pirmojo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[9] išėjimo yra nukreipiamas į pirmojo ir antrojo imtuvo kvadratūros maišytuvo [102, 202] įėjimą per pirmojo ir antrojo imtuvo lokalius aukštųjų dažnių signalo paskirstymo tinklus[5, 6]; ir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nukreipiamas į pirmojo ir antrojo siųstuvo kvadratūros maišytuvo [302, 402] įėjimą per pirmojo ir antrojo siųstuvo lokalius aukštųjų dažnių signalo paskirstymo tinklus [7, 8], jis įgyvendina tiesioginio dažnio keitimo architektūrą, turinčia mažiausiai du po du daugelio įėjimo daugelio išėjimų siųstuvo ir imtuvo traktą, sukonfigūruotą dažninio tankinimo dupleksui integruotame siųstuvo ir imtuvo grandyne pagal 1 punktą.</w:t>
      </w:r>
    </w:p>
    <w:p w14:paraId="72587A13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47503273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21.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kai signalas iš pirmojo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[9] išėjimo yra nukreipiamas į pirmojo ir antrojo imtuvo kvadratūrinio maišytuvo [102, 202] įėjimus per pirmojo ir antrojo imtuvo lokalius aukštųjų dažnių signalo paskirstymo tinklus [5, 6]; ir kai signalas iš antrojo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[10] išėjimo yra nukreipiamas į pirmojo ir antrojo imtuvo maišytuvo [104, 204] įėjimus per antrojo imtuvo lokalaus </w:t>
      </w:r>
      <w:r w:rsidRPr="00F731A5">
        <w:rPr>
          <w:rFonts w:ascii="Helvetica" w:hAnsi="Helvetica" w:cs="Helvetica"/>
          <w:sz w:val="20"/>
        </w:rPr>
        <w:lastRenderedPageBreak/>
        <w:t xml:space="preserve">aukštųjų dažnių signalo paskirstymo tinklą [6]; ir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yra nukreipiamas į pirmojo ir antrojo siųstuvo kvadratūrinio maišytuvo [302, 402] įėjimus per pirmojo ir antrojo siųstuvo lokalius virpesių signalo paskirstymo tinklus [7, 8]; ir kai signalas iš ketvirtojo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[12] išėjimo yra nukreipiamas į pirmojo ir antrojo siųstuvo maišytuvo [304, 404] įėjimus per antrojo siųstuvo lokalaus aukštųjų dažnių signalo paskirstymo tinklą [8], jis įgyvendina dvigubo dažnio keitimo architektūrą, turinčią mažiausiai du po du daugelio įėjimų daugelio išėjimų siųstuvo ir imtuvo traktą, sukonfigūruotą dažninio tankinimo dupleksui integruotame siųstuvo ir imtuvo grandyne pagal 1 punktą.</w:t>
      </w:r>
    </w:p>
    <w:p w14:paraId="6AAC2FE1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6AB5BD3A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22.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per nukreipiamas į pirmojo imtuvo kvadratūrinio maišytuvo [102] įėjimą ir pirmojo siųstuvo kvadratūrinio maišytuvo [302] įėjimą per pirmąjį imtuvo lokalaus aukštųjų dažnių signalo paskirstymo tinklą [5] ir pirmojo siųstuvo lokalaus aukštųjų dažnių signalo paskirstymo tinklą [7]; kai signalas iš ketvirtojo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[12] išėjimo nukreipiamas į antrojo imtuvo kvadratūrinio maišytuvo [202] įėjimą ir antrąjį siųstuvo kvadratūrinio maišytuvo [402] įėjimą per antrąjį imtuvo lokalaus aukštųjų dažnių signalo paskirstymo tinklą [6] ir antrąjį siųstuvo lokalaus aukštųjų dažnių signalo paskirstymo tinklą [8], jis įgyvendina tiesioginio dažnio keitimo architektūrą, turinčią du nepriklausomus radijo dažnio siųstuvo-imtuvo traktus, sukonfigūruotą laikinio dalijimo dupleksui integruotame siųstuvo ir imtuvo grandyne pagal 1 punktą.</w:t>
      </w:r>
    </w:p>
    <w:p w14:paraId="592948E3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1FDE1F1B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23. Integruoto siųstuvo ir imtuvo grandynas pagal 13 punktą,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>b e s i s k i r i a n t i s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yra nukreipiamas į visus imtuvo ir siųstuvo kvadratūrinio maišytuvo [102, 202, 302, 402] įėjimus per visus lokalius virpesių signalo paskirstymo tinklus [5, 6, 7, 8], jis įgyvendina tiesioginio dažnio keitimo architektūrą, turinčia mažiausiai du po du daugelio įėjimų ir daugelio išėjimų siųstuvo ir imtuvo traktą, sukonfigūruotą laikinio tankinimo dupleksui integruotame siųstuvo ir imtuvo grandyne pagal 1 punktą.</w:t>
      </w:r>
    </w:p>
    <w:p w14:paraId="275C2534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150BFFEE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>24. Integruoto siųstuvo ir imtuvo grandynas pagal 13 punktą,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tuo, kad kai signalas iš pirmojo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[9] išėjimo yra nukreipiamas į antrojo imtuvo maišytuvo [204] ir antrojo siųstuvo maišytuvo [404] įėjimus per pirmojo ir antrojo imtuvo lokalius aukštųjų dažnių signalo paskirstymo tinklus [5, 6] ir antrojo siųstuvo lokalaus aukštųjų dažnių signalo paskirstymo tinklą [8]; ir kai signalas iš antrojo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[10] išėjimo yra nukreipiamas į pirmojo imtuvo maišytuvo [104] ir pirmojo siųstuvo maišytuvo [304] įėjimus per antrojo imtuvo lokalaus aukštųjų dažnių signalo paskirstymo tinklą [6] ir antrojo siųstuvo lokalaus aukštųjų dažnių signalo paskirstymo tinklą [8]; ir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yra nukreipiamas į pirmojo imtuvo kvadratūrinio maišytuvo [102] įėjimą ir pirmojo siųstuvo kvadratūrinio maišytuvo [302] įėjimą per pirmojo imtuvo lokalaus aukštųjų dažnių signalo paskirstymo tinklą [5] ir pirmojo siųstuvo lokalaus aukštųjų dažnių signalo paskirstymo tinklą [7]; kai signalas iš ketvirtojo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[12] išėjimo nukreipiamas į antrojo imtuvo kvadratūrinio maišytuvo [202] įėjimą ir antrojo siųstuvo kvadratūrinio maišytuvo [402] įėjimą per antrojo imtuvo lokalaus aukštųjų dažnių signalo paskirstymo tinklą [6] ir antrojo siųstuvo lokalaus aukštųjų dažnių signalo paskirstymo tinklą [8], jis įgyvendina dvigubo dažnio keitimo architektūrą, turinčią du nepriklausomus radijo dažnio siųstuvo-imtuvo traktus, sukonfigūruotą laikinio tankinimo dupleksui integruotame siųstuvo ir imtuvo grandyne pagal 1 punktą.</w:t>
      </w:r>
    </w:p>
    <w:p w14:paraId="0865FE3E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4BD74D84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lastRenderedPageBreak/>
        <w:t>25. Integruoto siųstuvo ir imtuvo grandynas pagal 13 punktą,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 b e s i s k i r i a n t i s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kai signalas iš trečiojo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[11] išėjimo nukreipiamas į visus imtuvo ir siųstuvo kvadratūrinio maišytuvo [102, 202, 302, 402] įėjimus per visus lokalaus aukštųjų dažnių signalo paskirstymo tinklus [5, 6, 7, 8]; ir kai signalas iš ketvirtojo lokalaus aukštųjų dažnių signalo </w:t>
      </w:r>
      <w:proofErr w:type="spellStart"/>
      <w:r w:rsidRPr="00F731A5">
        <w:rPr>
          <w:rFonts w:ascii="Helvetica" w:hAnsi="Helvetica" w:cs="Helvetica"/>
          <w:sz w:val="20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 xml:space="preserve"> sintezatoriaus [12] išėjimo yra nukreipiamas į visus imtuvo ir siųstuvo maišytuvų [104, 204, 304, 404] įėjimus per antrąjį imtuvo lokalaus aukštųjų dažnių signalo paskirstymo tinklą [6] ir antrąjį siųstuvo lokalaus aukštųjų dažnių signalo paskirstymo tinklą [8], jis įgyvendina dvigubo dažnio keitimo architektūrą, turinčią mažiausiai du po du daugelio įėjimų daugelio išėjimų siųstuvo ir imtuvo traktą, sukonfigūruotą laikinio tankinimo dupleksui integruotame siųstuvo ir imtuvo grandyne pagal 1 punktą.</w:t>
      </w:r>
    </w:p>
    <w:p w14:paraId="1DC59540" w14:textId="77777777" w:rsidR="00F731A5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</w:p>
    <w:p w14:paraId="3FFB78FD" w14:textId="77777777" w:rsidR="0018473C" w:rsidRPr="00F731A5" w:rsidRDefault="00F731A5" w:rsidP="00F731A5">
      <w:pPr>
        <w:pStyle w:val="Betarp"/>
        <w:suppressAutoHyphens w:val="0"/>
        <w:spacing w:line="360" w:lineRule="auto"/>
        <w:ind w:firstLine="567"/>
        <w:rPr>
          <w:rFonts w:ascii="Helvetica" w:hAnsi="Helvetica" w:cs="Helvetica"/>
          <w:sz w:val="20"/>
        </w:rPr>
      </w:pPr>
      <w:r w:rsidRPr="00F731A5">
        <w:rPr>
          <w:rFonts w:ascii="Helvetica" w:hAnsi="Helvetica" w:cs="Helvetica"/>
          <w:sz w:val="20"/>
        </w:rPr>
        <w:t xml:space="preserve">26. Integruoto siųstuvo ir imtuvo grandynas pagal 21, 24 ir 25 punktus,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b e s i s k i r i a n t i s </w:t>
      </w:r>
      <w:r>
        <w:rPr>
          <w:rFonts w:ascii="Helvetica" w:hAnsi="Helvetica" w:cs="Helvetica"/>
          <w:sz w:val="20"/>
        </w:rPr>
        <w:t xml:space="preserve"> </w:t>
      </w:r>
      <w:r w:rsidRPr="00F731A5">
        <w:rPr>
          <w:rFonts w:ascii="Helvetica" w:hAnsi="Helvetica" w:cs="Helvetica"/>
          <w:sz w:val="20"/>
        </w:rPr>
        <w:t xml:space="preserve">tuo, kad kai jis veikia dvigubo dažnio keitimo architektūroje, jo siųstuvo-imtuvo radijo dažnių diapazonas praplečiamas per </w:t>
      </w:r>
      <w:proofErr w:type="spellStart"/>
      <w:r w:rsidRPr="00F731A5">
        <w:rPr>
          <w:rFonts w:ascii="Helvetica" w:hAnsi="Helvetica" w:cs="Helvetica"/>
          <w:sz w:val="20"/>
        </w:rPr>
        <w:t>F</w:t>
      </w:r>
      <w:r w:rsidRPr="00F731A5">
        <w:rPr>
          <w:rFonts w:ascii="Helvetica" w:hAnsi="Helvetica" w:cs="Helvetica"/>
          <w:sz w:val="20"/>
          <w:vertAlign w:val="subscript"/>
        </w:rPr>
        <w:t>PLL</w:t>
      </w:r>
      <w:proofErr w:type="spellEnd"/>
      <w:r w:rsidRPr="00F731A5">
        <w:rPr>
          <w:rFonts w:ascii="Helvetica" w:hAnsi="Helvetica" w:cs="Helvetica"/>
          <w:sz w:val="20"/>
        </w:rPr>
        <w:t>.</w:t>
      </w:r>
      <w:bookmarkEnd w:id="0"/>
    </w:p>
    <w:sectPr w:rsidR="0018473C" w:rsidRPr="00F731A5" w:rsidSect="00F731A5">
      <w:pgSz w:w="11906" w:h="16838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FA68" w14:textId="77777777" w:rsidR="0028449E" w:rsidRDefault="0028449E" w:rsidP="00F731A5">
      <w:pPr>
        <w:spacing w:after="0"/>
      </w:pPr>
      <w:r>
        <w:separator/>
      </w:r>
    </w:p>
  </w:endnote>
  <w:endnote w:type="continuationSeparator" w:id="0">
    <w:p w14:paraId="305EFD01" w14:textId="77777777" w:rsidR="0028449E" w:rsidRDefault="0028449E" w:rsidP="00F73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997C" w14:textId="77777777" w:rsidR="0028449E" w:rsidRDefault="0028449E" w:rsidP="00F731A5">
      <w:pPr>
        <w:spacing w:after="0"/>
      </w:pPr>
      <w:r>
        <w:separator/>
      </w:r>
    </w:p>
  </w:footnote>
  <w:footnote w:type="continuationSeparator" w:id="0">
    <w:p w14:paraId="060E73CF" w14:textId="77777777" w:rsidR="0028449E" w:rsidRDefault="0028449E" w:rsidP="00F731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A5"/>
    <w:rsid w:val="0000726D"/>
    <w:rsid w:val="000657CC"/>
    <w:rsid w:val="00091494"/>
    <w:rsid w:val="0009555D"/>
    <w:rsid w:val="00100598"/>
    <w:rsid w:val="001340E0"/>
    <w:rsid w:val="00142022"/>
    <w:rsid w:val="0018473C"/>
    <w:rsid w:val="001A66DC"/>
    <w:rsid w:val="001D55F6"/>
    <w:rsid w:val="00220F37"/>
    <w:rsid w:val="00276E95"/>
    <w:rsid w:val="0028449E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50292"/>
    <w:rsid w:val="00EE464B"/>
    <w:rsid w:val="00F20677"/>
    <w:rsid w:val="00F57039"/>
    <w:rsid w:val="00F731A5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9B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731A5"/>
    <w:pPr>
      <w:suppressAutoHyphens/>
      <w:autoSpaceDN w:val="0"/>
      <w:spacing w:after="120"/>
      <w:jc w:val="both"/>
      <w:textAlignment w:val="baseline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731A5"/>
    <w:pPr>
      <w:suppressAutoHyphens/>
      <w:autoSpaceDN w:val="0"/>
      <w:jc w:val="both"/>
      <w:textAlignment w:val="baseline"/>
    </w:pPr>
    <w:rPr>
      <w:rFonts w:eastAsia="Calibri"/>
      <w:sz w:val="24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731A5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31A5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731A5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31A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10503</Words>
  <Characters>5988</Characters>
  <Application>Microsoft Office Word</Application>
  <DocSecurity>0</DocSecurity>
  <Lines>49</Lines>
  <Paragraphs>32</Paragraphs>
  <ScaleCrop>false</ScaleCrop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2022-05-02T05:12:00Z</dcterms:created>
  <dcterms:modified xsi:type="dcterms:W3CDTF">2022-05-02T05:12:00Z</dcterms:modified>
</cp:coreProperties>
</file>