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6B59" w14:textId="2935F604" w:rsidR="00B53483" w:rsidRPr="00B53483" w:rsidRDefault="00B53483" w:rsidP="00B53483">
      <w:pPr>
        <w:spacing w:line="360" w:lineRule="auto"/>
        <w:ind w:firstLine="720"/>
        <w:jc w:val="both"/>
        <w:rPr>
          <w:rFonts w:ascii="Helvetica" w:hAnsi="Helvetica" w:cs="Helvetica"/>
          <w:szCs w:val="24"/>
        </w:rPr>
      </w:pPr>
      <w:r w:rsidRPr="00B53483">
        <w:rPr>
          <w:rFonts w:ascii="Helvetica" w:hAnsi="Helvetica" w:cs="Helvetica"/>
          <w:szCs w:val="24"/>
        </w:rPr>
        <w:t>1. Termoizoliacinio apdailos elemento, skirto pastatų išorinių sienų šiltinimui ir dekoravimui, gamybos būdas, apimantis dekoratyvinio apdailos sluoksnio suformavimą termoizoliacinės plokštės išoriniame paviršiuje ir tvirtinimo prie pastato fasado elementų integravimą į termoizoliacinę plokštę, b e s i s k i r i a n t i s tuo, kad apima šias gamybos stadijas:</w:t>
      </w:r>
    </w:p>
    <w:p w14:paraId="5FD32F8A"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a) metalinių perforuotų tvirtinimo juostų (3), skirtų termoizoliacinės plokštės (2) išlaikymui ir tvirtinimui prie pastato fasado, sumontavimą termoizoliacinėje plokštėje (2); ir</w:t>
      </w:r>
    </w:p>
    <w:p w14:paraId="43D3A4CA"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b) dekoratyvinio apdailos sluoksnio (4) suformavimą ant termoizoliacinės plokštės (2) išorinio paviršiaus.</w:t>
      </w:r>
    </w:p>
    <w:p w14:paraId="2965A330" w14:textId="77777777" w:rsidR="00B53483" w:rsidRPr="00B53483" w:rsidRDefault="00B53483" w:rsidP="00B53483">
      <w:pPr>
        <w:spacing w:line="360" w:lineRule="auto"/>
        <w:jc w:val="both"/>
        <w:rPr>
          <w:rFonts w:ascii="Helvetica" w:hAnsi="Helvetica" w:cs="Helvetica"/>
          <w:szCs w:val="24"/>
        </w:rPr>
      </w:pPr>
    </w:p>
    <w:p w14:paraId="3B323F0E" w14:textId="77777777" w:rsidR="00B53483"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2. Būdas pagal 1 punktą, b e s i s k i r i a n t i s tuo, kad perforuotos tvirtinimo juostos (3) yra įvertos skersai termoizoliacinės plokštės (2) ir nukreiptos maždaug 45o kampu nuo termoizoliacinės plokštės (2) vidinės pusės viršutinės briaunos žemyn per visą termoizoliacinės plokštės (2) storį.</w:t>
      </w:r>
    </w:p>
    <w:p w14:paraId="11A9D507" w14:textId="77777777" w:rsidR="00B53483" w:rsidRPr="00B53483" w:rsidRDefault="00B53483" w:rsidP="00B53483">
      <w:pPr>
        <w:spacing w:line="360" w:lineRule="auto"/>
        <w:jc w:val="both"/>
        <w:rPr>
          <w:rFonts w:ascii="Helvetica" w:hAnsi="Helvetica" w:cs="Helvetica"/>
          <w:szCs w:val="24"/>
        </w:rPr>
      </w:pPr>
    </w:p>
    <w:p w14:paraId="3B5E3852" w14:textId="77777777" w:rsidR="00B53483"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 xml:space="preserve">3. Būdas pagal 1 ir 2 punktus, b e s i s k i r i a n t i s tuo, kad perforuotos tvirtinimo juostos (3) yra įvertos taip, kad jų vidiniai (3a) ir išoriniai (3b) galai liktų </w:t>
      </w:r>
      <w:proofErr w:type="spellStart"/>
      <w:r w:rsidRPr="00B53483">
        <w:rPr>
          <w:rFonts w:ascii="Helvetica" w:hAnsi="Helvetica" w:cs="Helvetica"/>
          <w:szCs w:val="24"/>
        </w:rPr>
        <w:t>išlindępriešingose</w:t>
      </w:r>
      <w:proofErr w:type="spellEnd"/>
      <w:r w:rsidRPr="00B53483">
        <w:rPr>
          <w:rFonts w:ascii="Helvetica" w:hAnsi="Helvetica" w:cs="Helvetica"/>
          <w:szCs w:val="24"/>
        </w:rPr>
        <w:t xml:space="preserve"> ‒ vidinėje ir išorinėje ‒ termoizoliacinės plokštės (2) pusėse, ir yra užlenkti taip, kad vidinis perforuotos tvirtinimo juostos (3) galas (3a), skirtas tvirtinimui prie pastato fasado, yra nukreiptas vertikaliai į viršų, o išorinis perforuotos tvirtinimo juostos (3) galas (3b) yra nukreiptas vertikaliai žemyn, dalinai uždengiant termoizoliacinės plokštės (2) išorinį paviršių.</w:t>
      </w:r>
    </w:p>
    <w:p w14:paraId="28A38645" w14:textId="77777777" w:rsidR="00B53483" w:rsidRPr="00B53483" w:rsidRDefault="00B53483" w:rsidP="00B53483">
      <w:pPr>
        <w:spacing w:line="360" w:lineRule="auto"/>
        <w:jc w:val="both"/>
        <w:rPr>
          <w:rFonts w:ascii="Helvetica" w:hAnsi="Helvetica" w:cs="Helvetica"/>
          <w:szCs w:val="24"/>
        </w:rPr>
      </w:pPr>
    </w:p>
    <w:p w14:paraId="2462CECC" w14:textId="77777777" w:rsidR="00B53483"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4. Būdas pagal 3 punktą, b e s i s k i r i a n t i s tuo, kad optimaliu atveju perforuotos tvirtinimo juostos (3) galo (3a) ilgis yra apie 50 mm, o perforuotos tvirtinimo juostos (3) galo (3b) ilgis yra apie 80 mm.</w:t>
      </w:r>
    </w:p>
    <w:p w14:paraId="7DA437C1" w14:textId="77777777" w:rsidR="00B53483" w:rsidRPr="00B53483" w:rsidRDefault="00B53483" w:rsidP="00B53483">
      <w:pPr>
        <w:spacing w:line="360" w:lineRule="auto"/>
        <w:jc w:val="both"/>
        <w:rPr>
          <w:rFonts w:ascii="Helvetica" w:hAnsi="Helvetica" w:cs="Helvetica"/>
          <w:szCs w:val="24"/>
        </w:rPr>
      </w:pPr>
    </w:p>
    <w:p w14:paraId="1FFBEA8A" w14:textId="77777777" w:rsidR="00B53483"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5. Būdas pagal 3 punktą, b e s i s k i r i a n t i s tuo, kad perforuotos tvirtinimo juostos (3) išorinio galo (3b) dalis (3c) yra užlenkta stačiu kampu į termoizoliacinės plokštės (2) vidų, tokiu būdu susikabinant su termoizoliacine plokšte (2).</w:t>
      </w:r>
    </w:p>
    <w:p w14:paraId="1E617AB0" w14:textId="77777777" w:rsidR="00B53483" w:rsidRPr="00B53483" w:rsidRDefault="00B53483" w:rsidP="00B53483">
      <w:pPr>
        <w:spacing w:line="360" w:lineRule="auto"/>
        <w:jc w:val="both"/>
        <w:rPr>
          <w:rFonts w:ascii="Helvetica" w:hAnsi="Helvetica" w:cs="Helvetica"/>
          <w:szCs w:val="24"/>
        </w:rPr>
      </w:pPr>
    </w:p>
    <w:p w14:paraId="1CAC8184" w14:textId="77777777" w:rsidR="00B53483"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6. Būdas pagal 1-5 punktus, b e s i s k i r i a n t i s tuo, kad atstumas a tarp gretimų perforuotų tvirtinimo juostų (3) yra ribose tarp 30-40 cm, o atstumas b nuo kraštinių perforuotų tvirtinimo juostų (3) iki termoizoliacinės plokštės (2) šoninio krašto neviršija 20 cm.</w:t>
      </w:r>
    </w:p>
    <w:p w14:paraId="20F154AF" w14:textId="77777777" w:rsidR="00B53483" w:rsidRPr="00B53483" w:rsidRDefault="00B53483" w:rsidP="00B53483">
      <w:pPr>
        <w:spacing w:line="360" w:lineRule="auto"/>
        <w:jc w:val="both"/>
        <w:rPr>
          <w:rFonts w:ascii="Helvetica" w:hAnsi="Helvetica" w:cs="Helvetica"/>
          <w:szCs w:val="24"/>
        </w:rPr>
      </w:pPr>
    </w:p>
    <w:p w14:paraId="654A8C19" w14:textId="77777777" w:rsidR="00B53483"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7. Būdas pagal 1 punktą, b e s i s k i r i a n t i s tuo, kad dekoratyvinio apdailos sluoksnio (4) suformavimas ant termoizoliacinės plokštės (2) išorinio paviršiaus apima šias gamybos stadijas:</w:t>
      </w:r>
    </w:p>
    <w:p w14:paraId="77ED82B4"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a) į maišytuvą sudedamos mišinio sudedamosios dalys:</w:t>
      </w:r>
    </w:p>
    <w:p w14:paraId="6DBC3B9C"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cementas ir 0/2 mm frakcijos smėlis ‒ santykiu nuo 1:2 iki 1:3,</w:t>
      </w:r>
    </w:p>
    <w:p w14:paraId="6947B233"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geriausiai 1:2,5;</w:t>
      </w:r>
    </w:p>
    <w:p w14:paraId="7E8C4955"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xml:space="preserve">- bazalto </w:t>
      </w:r>
      <w:proofErr w:type="spellStart"/>
      <w:r w:rsidRPr="00B53483">
        <w:rPr>
          <w:rFonts w:ascii="Helvetica" w:hAnsi="Helvetica" w:cs="Helvetica"/>
          <w:szCs w:val="24"/>
        </w:rPr>
        <w:t>fibropluoštas</w:t>
      </w:r>
      <w:proofErr w:type="spellEnd"/>
      <w:r w:rsidRPr="00B53483">
        <w:rPr>
          <w:rFonts w:ascii="Helvetica" w:hAnsi="Helvetica" w:cs="Helvetica"/>
          <w:szCs w:val="24"/>
        </w:rPr>
        <w:t xml:space="preserve"> ‒ iki 0,3% cementinio mišinio masės;</w:t>
      </w:r>
    </w:p>
    <w:p w14:paraId="66E636EA"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pigmentas pageidaujamai apdailos sluoksnio spalvai išgauti ‒ nuo 0,5</w:t>
      </w:r>
    </w:p>
    <w:p w14:paraId="28D5A4B9"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iki 1,0% cementinio mišinio masės;</w:t>
      </w:r>
    </w:p>
    <w:p w14:paraId="271D0E66"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xml:space="preserve">- </w:t>
      </w:r>
      <w:proofErr w:type="spellStart"/>
      <w:r w:rsidRPr="00B53483">
        <w:rPr>
          <w:rFonts w:ascii="Helvetica" w:hAnsi="Helvetica" w:cs="Helvetica"/>
          <w:szCs w:val="24"/>
        </w:rPr>
        <w:t>hidrofobizuojantis</w:t>
      </w:r>
      <w:proofErr w:type="spellEnd"/>
      <w:r w:rsidRPr="00B53483">
        <w:rPr>
          <w:rFonts w:ascii="Helvetica" w:hAnsi="Helvetica" w:cs="Helvetica"/>
          <w:szCs w:val="24"/>
        </w:rPr>
        <w:t xml:space="preserve"> agentas ‒ nuo 0,2 iki 0,3% cementinio mišinio</w:t>
      </w:r>
    </w:p>
    <w:p w14:paraId="20BE1395"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masės;</w:t>
      </w:r>
    </w:p>
    <w:p w14:paraId="3701FB45"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priedas, skatinantis oro pašalinimą ‒ iki 0,2% cementinio mišinio</w:t>
      </w:r>
    </w:p>
    <w:p w14:paraId="62114C1F"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masės;</w:t>
      </w:r>
    </w:p>
    <w:p w14:paraId="4CA23B18"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plastifikatorius ‒ iki 0,5% cementinio mišinio masės;</w:t>
      </w:r>
    </w:p>
    <w:p w14:paraId="06C1EEE6"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b) įjungus maišytuvą, pripilama vandens nuo 8 iki 9% cementinio mišinio masės;</w:t>
      </w:r>
    </w:p>
    <w:p w14:paraId="58F6A59A"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lastRenderedPageBreak/>
        <w:t>c) mišinys maišomas nuo 10 iki 15 minučių, kol gaunama vienalytė mišinio masė;</w:t>
      </w:r>
    </w:p>
    <w:p w14:paraId="093BD9B1"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d) gautasis mišinys išpilstomas į PVC formas, prieš tai padengtas parafino mišiniu;</w:t>
      </w:r>
    </w:p>
    <w:p w14:paraId="581B1F7C"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xml:space="preserve">e) PVC forma su mišiniu dedama ant vibracinio stalo ir vibruojama nuo 30 iki 90 sek., geriausiai iki 60 sek.; </w:t>
      </w:r>
    </w:p>
    <w:p w14:paraId="2393BD21"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f) į skystą suvibruoto mišinio masę įpresuojama termoizoliacinė plokštė (2) su iš anksto įvertomis perforuotomis tvirtinimo juostomis (3) ta puse, kuri turi perforuotų tvirtinimo juostų (3) galus (3b);</w:t>
      </w:r>
    </w:p>
    <w:p w14:paraId="75CB4FBC"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 xml:space="preserve">g) taikant 0,4-1,0 </w:t>
      </w:r>
      <w:proofErr w:type="spellStart"/>
      <w:r w:rsidRPr="00B53483">
        <w:rPr>
          <w:rFonts w:ascii="Helvetica" w:hAnsi="Helvetica" w:cs="Helvetica"/>
          <w:szCs w:val="24"/>
        </w:rPr>
        <w:t>MPa</w:t>
      </w:r>
      <w:proofErr w:type="spellEnd"/>
      <w:r w:rsidRPr="00B53483">
        <w:rPr>
          <w:rFonts w:ascii="Helvetica" w:hAnsi="Helvetica" w:cs="Helvetica"/>
          <w:szCs w:val="24"/>
        </w:rPr>
        <w:t xml:space="preserve"> slėgį, termoizoliacinė plokštė (2) sujungiama su mišiniu ir paliekamas džiūti, esant 20-22oC temperatūrai ir 70-90% drėgmei, iki 24 valandų;</w:t>
      </w:r>
    </w:p>
    <w:p w14:paraId="13BEDAB5" w14:textId="77777777" w:rsidR="00B53483" w:rsidRPr="00B53483" w:rsidRDefault="00B53483" w:rsidP="00B53483">
      <w:pPr>
        <w:spacing w:line="360" w:lineRule="auto"/>
        <w:jc w:val="both"/>
        <w:rPr>
          <w:rFonts w:ascii="Helvetica" w:hAnsi="Helvetica" w:cs="Helvetica"/>
          <w:szCs w:val="24"/>
        </w:rPr>
      </w:pPr>
      <w:r w:rsidRPr="00B53483">
        <w:rPr>
          <w:rFonts w:ascii="Helvetica" w:hAnsi="Helvetica" w:cs="Helvetica"/>
          <w:szCs w:val="24"/>
        </w:rPr>
        <w:t>h) gaminys išimamas iš presformos ir galutinai išdžiovinamas, gaunant termoizoliacinį apdailos elementą (1) su 8-15 mm storio apdailos sluoksniu (4).</w:t>
      </w:r>
    </w:p>
    <w:p w14:paraId="1BD90B87" w14:textId="77777777" w:rsidR="00B53483" w:rsidRPr="00B53483" w:rsidRDefault="00B53483" w:rsidP="00B53483">
      <w:pPr>
        <w:spacing w:line="360" w:lineRule="auto"/>
        <w:jc w:val="both"/>
        <w:rPr>
          <w:rFonts w:ascii="Helvetica" w:hAnsi="Helvetica" w:cs="Helvetica"/>
          <w:szCs w:val="24"/>
        </w:rPr>
      </w:pPr>
    </w:p>
    <w:p w14:paraId="30A87C07" w14:textId="709BEF3D" w:rsidR="0018473C" w:rsidRPr="00B53483" w:rsidRDefault="00B53483" w:rsidP="00B53483">
      <w:pPr>
        <w:spacing w:line="360" w:lineRule="auto"/>
        <w:ind w:firstLine="567"/>
        <w:jc w:val="both"/>
        <w:rPr>
          <w:rFonts w:ascii="Helvetica" w:hAnsi="Helvetica" w:cs="Helvetica"/>
          <w:szCs w:val="24"/>
        </w:rPr>
      </w:pPr>
      <w:r w:rsidRPr="00B53483">
        <w:rPr>
          <w:rFonts w:ascii="Helvetica" w:hAnsi="Helvetica" w:cs="Helvetica"/>
          <w:szCs w:val="24"/>
        </w:rPr>
        <w:t>8. Termoizoliacinis apdailos elementas (1), gautas būdu pagal 1-7 punktus, skirtas pastatų išorinių sienų šiltinimui ir dekoravimui.</w:t>
      </w:r>
    </w:p>
    <w:sectPr w:rsidR="0018473C" w:rsidRPr="00B53483" w:rsidSect="00B53483">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F255" w14:textId="77777777" w:rsidR="00DC6E7B" w:rsidRDefault="00DC6E7B" w:rsidP="00B53483">
      <w:r>
        <w:separator/>
      </w:r>
    </w:p>
  </w:endnote>
  <w:endnote w:type="continuationSeparator" w:id="0">
    <w:p w14:paraId="727DD80B" w14:textId="77777777" w:rsidR="00DC6E7B" w:rsidRDefault="00DC6E7B" w:rsidP="00B5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4EA3" w14:textId="77777777" w:rsidR="00DC6E7B" w:rsidRDefault="00DC6E7B" w:rsidP="00B53483">
      <w:r>
        <w:separator/>
      </w:r>
    </w:p>
  </w:footnote>
  <w:footnote w:type="continuationSeparator" w:id="0">
    <w:p w14:paraId="01847A7D" w14:textId="77777777" w:rsidR="00DC6E7B" w:rsidRDefault="00DC6E7B" w:rsidP="00B53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83"/>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483"/>
    <w:rsid w:val="00B536BD"/>
    <w:rsid w:val="00B63A7F"/>
    <w:rsid w:val="00B8272B"/>
    <w:rsid w:val="00B876BE"/>
    <w:rsid w:val="00BC407F"/>
    <w:rsid w:val="00BE163F"/>
    <w:rsid w:val="00C211B4"/>
    <w:rsid w:val="00CE2C39"/>
    <w:rsid w:val="00D47BE4"/>
    <w:rsid w:val="00D61739"/>
    <w:rsid w:val="00DC6934"/>
    <w:rsid w:val="00DC6E7B"/>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8CBAA"/>
  <w15:chartTrackingRefBased/>
  <w15:docId w15:val="{5F240928-C4C6-4DAC-B040-FF1B00F9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3483"/>
    <w:pPr>
      <w:tabs>
        <w:tab w:val="center" w:pos="4986"/>
        <w:tab w:val="right" w:pos="9972"/>
      </w:tabs>
    </w:pPr>
  </w:style>
  <w:style w:type="character" w:customStyle="1" w:styleId="AntratsDiagrama">
    <w:name w:val="Antraštės Diagrama"/>
    <w:basedOn w:val="Numatytasispastraiposriftas"/>
    <w:link w:val="Antrats"/>
    <w:uiPriority w:val="99"/>
    <w:rsid w:val="00B53483"/>
    <w:rPr>
      <w:lang w:eastAsia="en-US"/>
    </w:rPr>
  </w:style>
  <w:style w:type="paragraph" w:styleId="Porat">
    <w:name w:val="footer"/>
    <w:basedOn w:val="prastasis"/>
    <w:link w:val="PoratDiagrama"/>
    <w:uiPriority w:val="99"/>
    <w:unhideWhenUsed/>
    <w:rsid w:val="00B53483"/>
    <w:pPr>
      <w:tabs>
        <w:tab w:val="center" w:pos="4986"/>
        <w:tab w:val="right" w:pos="9972"/>
      </w:tabs>
    </w:pPr>
  </w:style>
  <w:style w:type="character" w:customStyle="1" w:styleId="PoratDiagrama">
    <w:name w:val="Poraštė Diagrama"/>
    <w:basedOn w:val="Numatytasispastraiposriftas"/>
    <w:link w:val="Porat"/>
    <w:uiPriority w:val="99"/>
    <w:rsid w:val="00B5348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3339</Characters>
  <Application>Microsoft Office Word</Application>
  <DocSecurity>0</DocSecurity>
  <Lines>58</Lines>
  <Paragraphs>34</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2022-06-21T07:57:00Z</dcterms:created>
  <dcterms:modified xsi:type="dcterms:W3CDTF">2022-06-21T08:00:00Z</dcterms:modified>
</cp:coreProperties>
</file>