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1978" w14:textId="708EE330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Daugiafunkcinis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puslaidininkinis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šešiais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sudarytas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trijų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besikeičiančio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tipo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puslaidininkinių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1–3,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pavyzdžiui,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vidutiniškai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legiruotų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vidutiniškai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legiruotos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5.1,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turi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kontaktus-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priešinguose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išoriniuose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turi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kontaktus-</w:t>
      </w:r>
      <w:proofErr w:type="spellStart"/>
      <w:r w:rsidRPr="00AB189B">
        <w:rPr>
          <w:rFonts w:ascii="Helvetica" w:hAnsi="Helvetica"/>
          <w:sz w:val="20"/>
        </w:rPr>
        <w:t>išvadus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2.2,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vidutiniškai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silpnai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legiruoto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legiruoto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iki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šalutinių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krūvininkų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elektronų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n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difuzijos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nuotolį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šiame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2:</w:t>
      </w:r>
      <w:r w:rsidR="00AF5F6A">
        <w:rPr>
          <w:rFonts w:ascii="Helvetica" w:hAnsi="Helvetica"/>
          <w:sz w:val="20"/>
        </w:rPr>
        <w:t xml:space="preserve"> </w:t>
      </w:r>
    </w:p>
    <w:p w14:paraId="451E789A" w14:textId="44635F1B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taip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realizuotas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–p–(n–n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dvipolis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tranzistorius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DT</w:t>
      </w:r>
      <w:proofErr w:type="spellEnd"/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darinys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emiteris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legiruotų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šalutinių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krūvininkų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skylių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p</w:t>
      </w:r>
      <w:r w:rsidRPr="00AB189B">
        <w:rPr>
          <w:rFonts w:ascii="Helvetica" w:hAnsi="Helvetica"/>
          <w:sz w:val="20"/>
          <w:vertAlign w:val="subscript"/>
        </w:rPr>
        <w:t>n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difuzijos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nuotolį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3:</w:t>
      </w:r>
      <w:r w:rsidR="00AF5F6A">
        <w:rPr>
          <w:rFonts w:ascii="Helvetica" w:hAnsi="Helvetica"/>
          <w:sz w:val="20"/>
        </w:rPr>
        <w:t xml:space="preserve"> </w:t>
      </w:r>
    </w:p>
    <w:p w14:paraId="00F52D8B" w14:textId="6529FA8C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taip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realizuotas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–n–p</w:t>
      </w:r>
      <w:r w:rsidRPr="00AB189B">
        <w:rPr>
          <w:rFonts w:ascii="Helvetica" w:hAnsi="Helvetica"/>
          <w:sz w:val="20"/>
          <w:vertAlign w:val="superscript"/>
        </w:rPr>
        <w:t>+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darinį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emiteris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atvirkščiai,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  <w:vertAlign w:val="subscript"/>
        </w:rPr>
        <w:t>-4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iki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šalia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esančių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didesni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nuskurdintų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maksimalių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2-3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didesni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</w:p>
    <w:p w14:paraId="4923A14D" w14:textId="39BFC316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nuskurdintų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maksimalių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(3-4;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  <w:vertAlign w:val="subscript"/>
        </w:rPr>
        <w:t>-(4;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="00AF5F6A">
        <w:rPr>
          <w:rFonts w:ascii="Helvetica" w:hAnsi="Helvetica"/>
          <w:sz w:val="20"/>
        </w:rPr>
        <w:t xml:space="preserve"> &gt;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(2-3;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Pr="00AB189B">
        <w:rPr>
          <w:rFonts w:ascii="Helvetica" w:hAnsi="Helvetica"/>
          <w:sz w:val="20"/>
        </w:rPr>
        <w:t>).</w:t>
      </w:r>
      <w:r w:rsidR="00AF5F6A">
        <w:rPr>
          <w:rFonts w:ascii="Helvetica" w:hAnsi="Helvetica"/>
          <w:sz w:val="20"/>
        </w:rPr>
        <w:t xml:space="preserve"> </w:t>
      </w:r>
    </w:p>
    <w:p w14:paraId="15EE23FD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6EFD39F" w14:textId="2BCC679D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2.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&gt;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(3-4;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taip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realizuotas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–n–p</w:t>
      </w:r>
      <w:r w:rsidRPr="00AB189B">
        <w:rPr>
          <w:rFonts w:ascii="Helvetica" w:hAnsi="Helvetica"/>
          <w:sz w:val="20"/>
          <w:vertAlign w:val="superscript"/>
        </w:rPr>
        <w:t>+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puslaidininkinis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tetrodas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PT</w:t>
      </w:r>
      <w:proofErr w:type="spellEnd"/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PT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emiteris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atvirkščiai,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darinio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27380DA3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1C673B7" w14:textId="003058F1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3.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="00AF5F6A">
        <w:rPr>
          <w:rFonts w:ascii="Helvetica" w:hAnsi="Helvetica"/>
          <w:sz w:val="20"/>
        </w:rPr>
        <w:t xml:space="preserve"> &gt;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d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(2-1;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2-3)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nuskurdintų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maksimalūs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taip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realizuotas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–(n–n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darinys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(1.1),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(3.1),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(2.1)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(2.2),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parametrus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turi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kontaktus-</w:t>
      </w:r>
      <w:proofErr w:type="spellStart"/>
      <w:r w:rsidRPr="00AB189B">
        <w:rPr>
          <w:rFonts w:ascii="Helvetica" w:hAnsi="Helvetica"/>
          <w:sz w:val="20"/>
        </w:rPr>
        <w:t>išvadus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(4.1),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(5.1),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atvirkščiai,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(3.1).</w:t>
      </w:r>
    </w:p>
    <w:p w14:paraId="5A66A851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BECD394" w14:textId="5D2EC3FE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4.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darinys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parametrus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turi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kontaktus-</w:t>
      </w:r>
      <w:proofErr w:type="spellStart"/>
      <w:r w:rsidRPr="00AB189B">
        <w:rPr>
          <w:rFonts w:ascii="Helvetica" w:hAnsi="Helvetica"/>
          <w:sz w:val="20"/>
        </w:rPr>
        <w:t>išvadus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(1.1),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(3.1)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kontaktus-</w:t>
      </w:r>
      <w:proofErr w:type="spellStart"/>
      <w:r w:rsidRPr="00AB189B">
        <w:rPr>
          <w:rFonts w:ascii="Helvetica" w:hAnsi="Helvetica"/>
          <w:sz w:val="20"/>
        </w:rPr>
        <w:t>išvadus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(2.1)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(2.2),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didesnis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nuskurdintų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neutralių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(3-4;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sumą,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nėra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poveikių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įtampų,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maksimalių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(3-4;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3-5)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sumą,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p–n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atgalinės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poveikių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3-4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+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o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3-4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+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pn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3-5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proofErr w:type="spellStart"/>
      <w:r w:rsidRPr="00AB189B">
        <w:rPr>
          <w:rFonts w:ascii="Helvetica" w:hAnsi="Helvetica"/>
          <w:sz w:val="20"/>
          <w:vertAlign w:val="subscript"/>
        </w:rPr>
        <w:t>max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taip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realizuotas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atidaryto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n–kanalo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sandūrinis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vienpolis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(lauko)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tranzistorius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VT</w:t>
      </w:r>
      <w:proofErr w:type="spellEnd"/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darinys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VT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užtūros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užtūros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lastRenderedPageBreak/>
        <w:t>atvirkščiai,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santakos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ištakos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K-D(S).</w:t>
      </w:r>
      <w:r w:rsidR="00AF5F6A">
        <w:rPr>
          <w:rFonts w:ascii="Helvetica" w:hAnsi="Helvetica"/>
          <w:sz w:val="20"/>
        </w:rPr>
        <w:t xml:space="preserve"> </w:t>
      </w:r>
    </w:p>
    <w:p w14:paraId="460D0B5B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77DBBB7" w14:textId="397E55C0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5.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1–4,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planarinės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(paviršinės)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technologijos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būdu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horizontalios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konstrukcijos,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kurioje,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pavyzdžiui,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dielektrinio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šilumai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laidaus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padėklo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stačiakampio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formos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epitaksinis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priešinguose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visą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stačiakampės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emiteris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emiteris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Pr="00AB189B">
        <w:rPr>
          <w:rFonts w:ascii="Helvetica" w:hAnsi="Helvetica"/>
          <w:sz w:val="20"/>
        </w:rPr>
        <w:t>)),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kolektorius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santaka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ištaka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abiejų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atitinkamoms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epitaksinio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kraštinėms,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abiejų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pavyzdžiui,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šalia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sudarant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emiterinę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–n</w:t>
      </w:r>
      <w:r w:rsidRPr="00AB189B">
        <w:rPr>
          <w:rFonts w:ascii="Helvetica" w:hAnsi="Helvetica"/>
          <w:sz w:val="20"/>
          <w:vertAlign w:val="superscript"/>
        </w:rPr>
        <w:t>+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sandūrą,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stačiakampė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bazė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atitinkamoms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kraštinėms,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ilgis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išilgai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sąlyčio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didesnis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ilgį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n</w:t>
      </w:r>
      <w:proofErr w:type="spellEnd"/>
      <w:r w:rsidRPr="00AB189B">
        <w:rPr>
          <w:rFonts w:ascii="Helvetica" w:hAnsi="Helvetica"/>
          <w:sz w:val="20"/>
          <w:vertAlign w:val="subscript"/>
        </w:rPr>
        <w:t>+</w:t>
      </w:r>
      <w:r w:rsidR="00AF5F6A">
        <w:rPr>
          <w:rFonts w:ascii="Helvetica" w:hAnsi="Helvetica"/>
          <w:sz w:val="20"/>
        </w:rPr>
        <w:t xml:space="preserve"> &lt;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plotis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statmenai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ilgiui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padėklo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lemia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funkcines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savybes,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visą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vienodu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  <w:vertAlign w:val="subscript"/>
        </w:rPr>
        <w:t>-(4;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kitą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atskiros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vienodų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matmenų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stačiakampės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(4)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(5),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atitinkamoms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epitaksinio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kraštinėms,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ilgiui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lemia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funkcines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savybes,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visų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kontaktai-išvadai: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paviršiuje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priešinguose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p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vienodų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matmenų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2.2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3A75E280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D974B5A" w14:textId="4AA0DC0E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6.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1–4,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padarytas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planarinės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technologijos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būdu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vertikalios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konstrukcijos,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kurioje,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pavyzdžiui,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padėklo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paviršiaus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kontaktas-išvadas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padėklo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paviršiaus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storio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pavyzdžiui,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epitaksinis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šiame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stačiakampė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įterpimo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gylis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storį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&lt;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skirtumas: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d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=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  <w:vertAlign w:val="subscript"/>
        </w:rPr>
        <w:t>-3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priešinguose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kraštuose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atstumu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-5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vienodos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(4)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penktoji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(5),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atvirkščiai,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įterpimo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gyliai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Pr="00AB189B">
        <w:rPr>
          <w:rFonts w:ascii="Helvetica" w:hAnsi="Helvetica"/>
          <w:sz w:val="20"/>
          <w:vertAlign w:val="subscript"/>
        </w:rPr>
        <w:t>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</w:t>
      </w:r>
      <w:r w:rsidR="00AF5F6A">
        <w:rPr>
          <w:rFonts w:ascii="Helvetica" w:hAnsi="Helvetica"/>
          <w:sz w:val="20"/>
        </w:rPr>
        <w:t xml:space="preserve"> &lt;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skirtumas: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=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  <w:vertAlign w:val="subscript"/>
        </w:rPr>
        <w:t>-(4;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viduryje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sričių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papildoma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paviršiniu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kontaktu-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papildomos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įterpimo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gylis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mažesnis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3.1</w:t>
      </w:r>
      <w:proofErr w:type="spellEnd"/>
      <w:r w:rsidR="00AF5F6A">
        <w:rPr>
          <w:rFonts w:ascii="Helvetica" w:hAnsi="Helvetica"/>
          <w:sz w:val="20"/>
        </w:rPr>
        <w:t xml:space="preserve"> &lt;</w:t>
      </w:r>
      <w:r w:rsidR="00AF5F6A">
        <w:rPr>
          <w:rFonts w:ascii="Helvetica" w:hAnsi="Helvetica"/>
          <w:i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h</w:t>
      </w:r>
      <w:r w:rsidRPr="00AB189B">
        <w:rPr>
          <w:rFonts w:ascii="Helvetica" w:hAnsi="Helvetica"/>
          <w:sz w:val="20"/>
          <w:vertAlign w:val="subscript"/>
        </w:rPr>
        <w:t>(4;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5)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–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sluoksnyje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priešingose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srities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pusėse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suformuotos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papildomos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</w:t>
      </w:r>
      <w:r w:rsidRPr="00AB189B">
        <w:rPr>
          <w:rFonts w:ascii="Helvetica" w:hAnsi="Helvetica"/>
          <w:sz w:val="20"/>
          <w:vertAlign w:val="superscript"/>
        </w:rPr>
        <w:t>+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sritys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paviršiniais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ominiais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kontaktais-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: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4304B8E6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0327671" w14:textId="32B5E3B7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7.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nulinio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potencialo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šina,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</w:t>
      </w:r>
      <w:proofErr w:type="spellStart"/>
      <w:r w:rsidRPr="00AB189B">
        <w:rPr>
          <w:rFonts w:ascii="Helvetica" w:hAnsi="Helvetica"/>
          <w:sz w:val="20"/>
          <w:vertAlign w:val="subscript"/>
        </w:rPr>
        <w:t>B1.1</w:t>
      </w:r>
      <w:proofErr w:type="spellEnd"/>
      <w:r w:rsidRPr="00AB189B">
        <w:rPr>
          <w:rFonts w:ascii="Helvetica" w:hAnsi="Helvetica"/>
          <w:sz w:val="20"/>
          <w:vertAlign w:val="subscript"/>
        </w:rPr>
        <w:t>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tarpusavyje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maitinimo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pastoviosios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teigiamo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poliškumo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neigiamo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poliškumo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lastRenderedPageBreak/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apkrovos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apkrovos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63D9199F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AF6901D" w14:textId="1673DB57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8.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B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B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abu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i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apkrovos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trečiojo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3E39522B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00371D1" w14:textId="1D51A920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9.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Impulsų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formuotuvas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laisvas,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(B(1.1;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1.2))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tarpusavyje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,,žeme“.</w:t>
      </w:r>
      <w:r w:rsidR="00AF5F6A">
        <w:rPr>
          <w:rFonts w:ascii="Helvetica" w:hAnsi="Helvetica"/>
          <w:sz w:val="20"/>
        </w:rPr>
        <w:t xml:space="preserve"> </w:t>
      </w:r>
    </w:p>
    <w:p w14:paraId="27BFEDB3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F323984" w14:textId="4783A54E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10.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Impulsų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formuotuvas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i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.</w:t>
      </w:r>
    </w:p>
    <w:p w14:paraId="118863D9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4D54795" w14:textId="5A26BCA3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11.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Impulsų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formuotuvas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variante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abu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(1.1-1.2)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,,žeme“.</w:t>
      </w:r>
      <w:r w:rsidR="00AF5F6A">
        <w:rPr>
          <w:rFonts w:ascii="Helvetica" w:hAnsi="Helvetica"/>
          <w:sz w:val="20"/>
        </w:rPr>
        <w:t xml:space="preserve"> </w:t>
      </w:r>
    </w:p>
    <w:p w14:paraId="0483EA0C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527F5AB" w14:textId="14CF4267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12.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Impulsų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formuotuvas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3,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laisvas,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atitinkamus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(2;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transformatoriaus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</w:t>
      </w:r>
      <w:proofErr w:type="spellStart"/>
      <w:r w:rsidRPr="00AB189B">
        <w:rPr>
          <w:rFonts w:ascii="Helvetica" w:hAnsi="Helvetica"/>
          <w:sz w:val="20"/>
        </w:rPr>
        <w:t>Tr</w:t>
      </w:r>
      <w:proofErr w:type="spellEnd"/>
      <w:r w:rsidRPr="00AB189B">
        <w:rPr>
          <w:rFonts w:ascii="Helvetica" w:hAnsi="Helvetica"/>
          <w:sz w:val="20"/>
        </w:rPr>
        <w:t>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apvijos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(II)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dviem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išvadais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Tr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pirminės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apvijos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(I)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vienas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i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1949DB51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9089975" w14:textId="45F23BB1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13.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užtūros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lastRenderedPageBreak/>
        <w:t>trečiojo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užtūros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ketvirtojo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4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6B8DCA9A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9F3EC8D" w14:textId="21ED4719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14.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šeštąjį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penktuoju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penktąjį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4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p w14:paraId="2708F3A9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DC6CF44" w14:textId="50C65A22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15.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Stiprintuvas-impulsų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formuotuvas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generatorius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(1.1;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(1;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schemos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variante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generatoriuje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induktorių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E.</w:t>
      </w:r>
      <w:r w:rsidR="00AF5F6A">
        <w:rPr>
          <w:rFonts w:ascii="Helvetica" w:hAnsi="Helvetica"/>
          <w:sz w:val="20"/>
        </w:rPr>
        <w:t xml:space="preserve"> </w:t>
      </w:r>
    </w:p>
    <w:p w14:paraId="2C83C7D9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F0A28DC" w14:textId="5B8B1087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16.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Stiprintuvas-dažnių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maišiklis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E-S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G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,,–“.</w:t>
      </w:r>
      <w:r w:rsidR="00AF5F6A">
        <w:rPr>
          <w:rFonts w:ascii="Helvetica" w:hAnsi="Helvetica"/>
          <w:sz w:val="20"/>
        </w:rPr>
        <w:t xml:space="preserve"> </w:t>
      </w:r>
    </w:p>
    <w:p w14:paraId="6A0F7EA6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3CE72DC" w14:textId="1EC90AC3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17.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Generatorius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1,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pirmojo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moduliacinio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M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induktorių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schemos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variante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septintąjį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7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aštuntąjį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8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,,žeme“.</w:t>
      </w:r>
      <w:r w:rsidR="00AF5F6A">
        <w:rPr>
          <w:rFonts w:ascii="Helvetica" w:hAnsi="Helvetica"/>
          <w:sz w:val="20"/>
        </w:rPr>
        <w:t xml:space="preserve"> </w:t>
      </w:r>
    </w:p>
    <w:p w14:paraId="4E3BC771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2195456" w14:textId="62A31DB6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18.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Generatorius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4–6,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šeštąjį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rezistorių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7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įtaiso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antrojo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moduliacinio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įėjimo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M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1.1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5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G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kuris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in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M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arba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kitame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lastRenderedPageBreak/>
        <w:t>schemos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variante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K-D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nuosekliai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aštuntąjį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8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devintąjį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kondensatorių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9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8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9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jungimo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mazgas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lygiagrečiai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sujungtus</w:t>
      </w:r>
      <w:r w:rsidR="00AF5F6A">
        <w:rPr>
          <w:rFonts w:ascii="Helvetica" w:hAnsi="Helvetica"/>
          <w:i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L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bei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6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,,žeme“.</w:t>
      </w:r>
      <w:r w:rsidR="00AF5F6A">
        <w:rPr>
          <w:rFonts w:ascii="Helvetica" w:hAnsi="Helvetica"/>
          <w:sz w:val="20"/>
        </w:rPr>
        <w:t xml:space="preserve"> </w:t>
      </w:r>
    </w:p>
    <w:p w14:paraId="6AE68857" w14:textId="77777777" w:rsidR="002B7B78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0DE614D" w14:textId="1B90E944" w:rsidR="002B7B78" w:rsidRPr="00AB189B" w:rsidRDefault="002B7B78" w:rsidP="00AB189B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B189B">
        <w:rPr>
          <w:rFonts w:ascii="Helvetica" w:hAnsi="Helvetica"/>
          <w:sz w:val="20"/>
        </w:rPr>
        <w:t>19.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Relaksacinių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virpesių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RC</w:t>
      </w:r>
      <w:proofErr w:type="spellEnd"/>
      <w:r w:rsidRPr="00AB189B">
        <w:rPr>
          <w:rFonts w:ascii="Helvetica" w:hAnsi="Helvetica"/>
          <w:sz w:val="20"/>
        </w:rPr>
        <w:t>–generatorius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pagal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punktus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2,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5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6,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b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e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n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t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</w:t>
      </w:r>
      <w:r w:rsidR="00AF5F6A">
        <w:rPr>
          <w:rFonts w:ascii="Helvetica" w:hAnsi="Helvetica"/>
          <w:sz w:val="20"/>
        </w:rPr>
        <w:t xml:space="preserve">  </w:t>
      </w:r>
      <w:r w:rsidRPr="00AB189B">
        <w:rPr>
          <w:rFonts w:ascii="Helvetica" w:hAnsi="Helvetica"/>
          <w:sz w:val="20"/>
        </w:rPr>
        <w:t>tuo,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kad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DFPĮ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bendrasis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1</w:t>
      </w:r>
      <w:r w:rsidRPr="00AB189B">
        <w:rPr>
          <w:rFonts w:ascii="Helvetica" w:hAnsi="Helvetica"/>
          <w:sz w:val="20"/>
        </w:rPr>
        <w:t>-B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yra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sujungtas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</w:p>
    <w:p w14:paraId="1C7AFBFD" w14:textId="452376FB" w:rsidR="0018473C" w:rsidRPr="00AB189B" w:rsidRDefault="002B7B78" w:rsidP="00AB189B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gnybtas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,,–“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,,žeme“,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DT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2</w:t>
      </w:r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išvadai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B</w:t>
      </w:r>
      <w:r w:rsidRPr="00AB189B">
        <w:rPr>
          <w:rFonts w:ascii="Helvetica" w:hAnsi="Helvetica"/>
          <w:sz w:val="20"/>
          <w:vertAlign w:val="subscript"/>
        </w:rPr>
        <w:t>(1.1;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1.2)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4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1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įtampos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Ɛ</w:t>
      </w:r>
      <w:r w:rsidRPr="00AB189B">
        <w:rPr>
          <w:rFonts w:ascii="Helvetica" w:hAnsi="Helvetica"/>
          <w:sz w:val="20"/>
          <w:vertAlign w:val="subscript"/>
        </w:rPr>
        <w:t>o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šaltinio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,,+“,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PT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išvadu</w:t>
      </w:r>
      <w:proofErr w:type="spellEnd"/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K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Pr="00AB189B">
        <w:rPr>
          <w:rFonts w:ascii="Helvetica" w:hAnsi="Helvetica"/>
          <w:sz w:val="20"/>
        </w:rPr>
        <w:t>,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o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išvadas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E</w:t>
      </w:r>
      <w:r w:rsidRPr="00AB189B">
        <w:rPr>
          <w:rFonts w:ascii="Helvetica" w:hAnsi="Helvetica"/>
          <w:sz w:val="20"/>
          <w:vertAlign w:val="subscript"/>
        </w:rPr>
        <w:t>2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i/>
          <w:sz w:val="20"/>
        </w:rPr>
        <w:t>R</w:t>
      </w:r>
      <w:r w:rsidRPr="00AB189B">
        <w:rPr>
          <w:rFonts w:ascii="Helvetica" w:hAnsi="Helvetica"/>
          <w:sz w:val="20"/>
          <w:vertAlign w:val="subscript"/>
        </w:rPr>
        <w:t>a</w:t>
      </w:r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,,žeme“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ir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kartu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per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i/>
          <w:sz w:val="20"/>
        </w:rPr>
        <w:t>C</w:t>
      </w:r>
      <w:r w:rsidRPr="00AB189B">
        <w:rPr>
          <w:rFonts w:ascii="Helvetica" w:hAnsi="Helvetica"/>
          <w:sz w:val="20"/>
          <w:vertAlign w:val="subscript"/>
        </w:rPr>
        <w:t>3</w:t>
      </w:r>
      <w:proofErr w:type="spellEnd"/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–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su</w:t>
      </w:r>
      <w:r w:rsidR="00AF5F6A">
        <w:rPr>
          <w:rFonts w:ascii="Helvetica" w:hAnsi="Helvetica"/>
          <w:sz w:val="20"/>
        </w:rPr>
        <w:t xml:space="preserve"> </w:t>
      </w:r>
      <w:r w:rsidRPr="00AB189B">
        <w:rPr>
          <w:rFonts w:ascii="Helvetica" w:hAnsi="Helvetica"/>
          <w:sz w:val="20"/>
        </w:rPr>
        <w:t>gnybtu</w:t>
      </w:r>
      <w:r w:rsidR="00AF5F6A">
        <w:rPr>
          <w:rFonts w:ascii="Helvetica" w:hAnsi="Helvetica"/>
          <w:sz w:val="20"/>
        </w:rPr>
        <w:t xml:space="preserve"> </w:t>
      </w:r>
      <w:proofErr w:type="spellStart"/>
      <w:r w:rsidRPr="00AB189B">
        <w:rPr>
          <w:rFonts w:ascii="Helvetica" w:hAnsi="Helvetica"/>
          <w:sz w:val="20"/>
        </w:rPr>
        <w:t>U</w:t>
      </w:r>
      <w:r w:rsidRPr="00AB189B">
        <w:rPr>
          <w:rFonts w:ascii="Helvetica" w:hAnsi="Helvetica"/>
          <w:sz w:val="20"/>
          <w:vertAlign w:val="subscript"/>
        </w:rPr>
        <w:t>iš</w:t>
      </w:r>
      <w:proofErr w:type="spellEnd"/>
      <w:r w:rsidR="00AF5F6A">
        <w:rPr>
          <w:rFonts w:ascii="Helvetica" w:hAnsi="Helvetica"/>
          <w:sz w:val="20"/>
          <w:vertAlign w:val="subscript"/>
        </w:rPr>
        <w:t xml:space="preserve"> </w:t>
      </w:r>
      <w:r w:rsidRPr="00AB189B">
        <w:rPr>
          <w:rFonts w:ascii="Helvetica" w:hAnsi="Helvetica"/>
          <w:sz w:val="20"/>
          <w:vertAlign w:val="subscript"/>
        </w:rPr>
        <w:t>3</w:t>
      </w:r>
      <w:r w:rsidRPr="00AB189B">
        <w:rPr>
          <w:rFonts w:ascii="Helvetica" w:hAnsi="Helvetica"/>
          <w:sz w:val="20"/>
        </w:rPr>
        <w:t>.</w:t>
      </w:r>
      <w:r w:rsidR="00AF5F6A">
        <w:rPr>
          <w:rFonts w:ascii="Helvetica" w:hAnsi="Helvetica"/>
          <w:sz w:val="20"/>
        </w:rPr>
        <w:t xml:space="preserve"> </w:t>
      </w:r>
    </w:p>
    <w:sectPr w:rsidR="0018473C" w:rsidRPr="00AB189B" w:rsidSect="00AB189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1A57" w14:textId="77777777" w:rsidR="002B7B78" w:rsidRDefault="002B7B78" w:rsidP="002B7B78">
      <w:pPr>
        <w:spacing w:after="0" w:line="240" w:lineRule="auto"/>
      </w:pPr>
      <w:r>
        <w:separator/>
      </w:r>
    </w:p>
  </w:endnote>
  <w:endnote w:type="continuationSeparator" w:id="0">
    <w:p w14:paraId="1210AAC6" w14:textId="77777777" w:rsidR="002B7B78" w:rsidRDefault="002B7B78" w:rsidP="002B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 Acce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223E" w14:textId="77777777" w:rsidR="002B7B78" w:rsidRDefault="002B7B78" w:rsidP="002B7B78">
      <w:pPr>
        <w:spacing w:after="0" w:line="240" w:lineRule="auto"/>
      </w:pPr>
      <w:r>
        <w:separator/>
      </w:r>
    </w:p>
  </w:footnote>
  <w:footnote w:type="continuationSeparator" w:id="0">
    <w:p w14:paraId="0AF23FE2" w14:textId="77777777" w:rsidR="002B7B78" w:rsidRDefault="002B7B78" w:rsidP="002B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F4FD3"/>
    <w:multiLevelType w:val="singleLevel"/>
    <w:tmpl w:val="4342C87C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LT" w:hAnsi="TimesLT" w:hint="default"/>
        <w:b/>
        <w:i w:val="0"/>
        <w:sz w:val="24"/>
        <w:u w:val="none"/>
      </w:rPr>
    </w:lvl>
  </w:abstractNum>
  <w:num w:numId="1" w16cid:durableId="8722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7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7B78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B189B"/>
    <w:rsid w:val="00AC620D"/>
    <w:rsid w:val="00AD0146"/>
    <w:rsid w:val="00AD5E9E"/>
    <w:rsid w:val="00AF5F6A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46930"/>
  <w15:chartTrackingRefBased/>
  <w15:docId w15:val="{8D409917-AC40-4EEC-9D23-8BDA0E4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qFormat/>
    <w:rsid w:val="002B7B78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B7B78"/>
    <w:pPr>
      <w:keepNext/>
      <w:spacing w:after="0" w:line="360" w:lineRule="auto"/>
      <w:ind w:firstLine="57"/>
      <w:jc w:val="both"/>
      <w:outlineLvl w:val="1"/>
    </w:pPr>
    <w:rPr>
      <w:rFonts w:ascii="TimesLT" w:eastAsia="Times New Roman" w:hAnsi="TimesLT" w:cs="Times New Roman"/>
      <w:sz w:val="24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2B7B78"/>
    <w:pPr>
      <w:keepNext/>
      <w:spacing w:after="0" w:line="360" w:lineRule="auto"/>
      <w:ind w:firstLine="57"/>
      <w:jc w:val="center"/>
      <w:outlineLvl w:val="2"/>
    </w:pPr>
    <w:rPr>
      <w:rFonts w:ascii="TimesLT" w:eastAsia="Times New Roman" w:hAnsi="TimesLT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B7B78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B7B78"/>
    <w:rPr>
      <w:rFonts w:ascii="TimesLT" w:eastAsia="Times New Roman" w:hAnsi="TimesLT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2B7B78"/>
    <w:rPr>
      <w:rFonts w:ascii="TimesLT" w:eastAsia="Times New Roman" w:hAnsi="TimesLT" w:cs="Times New Roman"/>
      <w:b/>
      <w:sz w:val="24"/>
      <w:szCs w:val="20"/>
    </w:rPr>
  </w:style>
  <w:style w:type="paragraph" w:styleId="Antrats">
    <w:name w:val="header"/>
    <w:basedOn w:val="prastasis"/>
    <w:link w:val="AntratsDiagrama"/>
    <w:rsid w:val="002B7B7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2B7B78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2B7B78"/>
  </w:style>
  <w:style w:type="paragraph" w:styleId="Pagrindiniotekstotrauka">
    <w:name w:val="Body Text Indent"/>
    <w:basedOn w:val="prastasis"/>
    <w:link w:val="PagrindiniotekstotraukaDiagrama"/>
    <w:rsid w:val="002B7B78"/>
    <w:pPr>
      <w:spacing w:after="0" w:line="360" w:lineRule="auto"/>
      <w:ind w:firstLine="57"/>
      <w:jc w:val="both"/>
    </w:pPr>
    <w:rPr>
      <w:rFonts w:ascii="TimesLT Accented" w:eastAsia="Times New Roman" w:hAnsi="TimesLT Accented" w:cs="Times New Roman"/>
      <w:sz w:val="24"/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B7B78"/>
    <w:rPr>
      <w:rFonts w:ascii="TimesLT Accented" w:eastAsia="Times New Roman" w:hAnsi="TimesLT Accented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2B7B7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2B7B78"/>
    <w:rPr>
      <w:rFonts w:ascii="Times New Roman" w:eastAsia="Times New Roman" w:hAnsi="Times New Roman" w:cs="Times New Roman"/>
      <w:sz w:val="20"/>
      <w:szCs w:val="20"/>
    </w:rPr>
  </w:style>
  <w:style w:type="character" w:styleId="Eilutsnumeris">
    <w:name w:val="line number"/>
    <w:basedOn w:val="Numatytasispastraiposriftas"/>
    <w:rsid w:val="002B7B78"/>
  </w:style>
  <w:style w:type="paragraph" w:styleId="Sraas2">
    <w:name w:val="List 2"/>
    <w:basedOn w:val="prastasis"/>
    <w:rsid w:val="002B7B78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2B7B7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B7B78"/>
    <w:rPr>
      <w:rFonts w:ascii="Times New Roman" w:eastAsia="Times New Roman" w:hAnsi="Times New Roman" w:cs="Times New Roman"/>
      <w:sz w:val="20"/>
      <w:szCs w:val="20"/>
    </w:rPr>
  </w:style>
  <w:style w:type="paragraph" w:styleId="Pagrindiniotekstopirmatrauka">
    <w:name w:val="Body Text First Indent"/>
    <w:basedOn w:val="Pagrindinistekstas"/>
    <w:link w:val="PagrindiniotekstopirmatraukaDiagrama"/>
    <w:rsid w:val="002B7B78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2B7B78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2B7B78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B7B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10820</Words>
  <Characters>6168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2022-05-13T11:41:00Z</dcterms:created>
  <dcterms:modified xsi:type="dcterms:W3CDTF">2022-10-02T19:47:00Z</dcterms:modified>
</cp:coreProperties>
</file>