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C6EB" w14:textId="655F0EF2" w:rsidR="0018473C" w:rsidRPr="00DC6934" w:rsidRDefault="001F7260" w:rsidP="001F7260">
      <w:pPr>
        <w:spacing w:line="276" w:lineRule="auto"/>
        <w:rPr>
          <w:sz w:val="24"/>
          <w:szCs w:val="24"/>
        </w:rPr>
      </w:pPr>
      <w:r w:rsidRPr="001F7260">
        <w:rPr>
          <w:sz w:val="24"/>
          <w:szCs w:val="24"/>
        </w:rPr>
        <w:t>Išradimas skirtas kosmetikos pramonei, konkrečiai - prausikliui, skirtam aktyviai odos būklės priežiūrai, įskaitant profilaktikai ir gydymui nuo rožinės, aknės ir raudonio. Pagrindiniai aktyvieji komponentai yra azelaino rūgštis, gliukonolaktonas bei glikolio rūgštis. Pagrindinė prausiklio paskirtis - nuvalyti ant odos paviršiaus esančius nešvarumus, makiažo likučius, eksfolijuoti negyvąsias odos ląsteles, skatinti viršutinio odos sluoksnio regeneraciją, padėti stiprinti kapiliarų sieneles ir teigiamai veikti rožinės, aknės ar raudonės požymių turinčios odos būklę.</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1F7260"/>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1F7260"/>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3B5AD"/>
  <w15:chartTrackingRefBased/>
  <w15:docId w15:val="{33C9FA3E-697A-4692-946F-DD457AB7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474</Characters>
  <Application>Microsoft Office Word</Application>
  <DocSecurity>0</DocSecurity>
  <Lines>10</Lines>
  <Paragraphs>6</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2022-12-08T12:11:00Z</dcterms:created>
  <dcterms:modified xsi:type="dcterms:W3CDTF">2022-12-08T12:12:00Z</dcterms:modified>
</cp:coreProperties>
</file>