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FF74" w14:textId="77777777" w:rsid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1. PET taros gamybos ir pakavimo sistema, apimanti PET ruošinių tiekimo įrenginį, PET taros gamybos įrenginį, PET taros sandarumo testavimo įrenginį ir pagamintos PET taros sandėliavimo įrenginį,</w:t>
      </w:r>
    </w:p>
    <w:p w14:paraId="27838C3B" w14:textId="42699934" w:rsidR="00EC0600" w:rsidRPr="00EC0600" w:rsidRDefault="00EC0600" w:rsidP="00EC0600">
      <w:pPr>
        <w:spacing w:after="0" w:line="360" w:lineRule="auto"/>
        <w:jc w:val="both"/>
        <w:rPr>
          <w:rFonts w:ascii="Helvetica" w:hAnsi="Helvetica" w:cs="Helvetica"/>
          <w:sz w:val="20"/>
        </w:rPr>
      </w:pPr>
      <w:r w:rsidRPr="00EC0600">
        <w:rPr>
          <w:rFonts w:ascii="Helvetica" w:hAnsi="Helvetica" w:cs="Helvetica"/>
          <w:sz w:val="20"/>
        </w:rPr>
        <w:t xml:space="preserve">b e s i s k i r i a n t i  tuo, kad sistema apima karkasą (K), kuris apriboja vidinę erdvę, kurioje yra pozicionuojami visi sistemos įrenginiai, ir kuris apima apatines grindis (AG) ir antro aukšto grindis (AAG), kur ant apatinių grindų </w:t>
      </w:r>
      <w:r w:rsidR="009B240E">
        <w:rPr>
          <w:rFonts w:ascii="Helvetica" w:hAnsi="Helvetica" w:cs="Helvetica"/>
          <w:sz w:val="20"/>
        </w:rPr>
        <w:t>(</w:t>
      </w:r>
      <w:r w:rsidRPr="00EC0600">
        <w:rPr>
          <w:rFonts w:ascii="Helvetica" w:hAnsi="Helvetica" w:cs="Helvetica"/>
          <w:sz w:val="20"/>
        </w:rPr>
        <w:t>AG) yra sustatyta pirma dalis PET taros gamybos ir pakavimo sistemos įrenginių, o ant antro aukšto grindų (AAG) yra sustatyta arba pakabinta po antro aukšto grindimis (AAG), antra dalis PET taros gamybos ir pakavimo sistemos įrenginių.</w:t>
      </w:r>
    </w:p>
    <w:p w14:paraId="7CA785B4" w14:textId="77777777" w:rsidR="00EC0600" w:rsidRPr="00EC0600" w:rsidRDefault="00EC0600" w:rsidP="00EC0600">
      <w:pPr>
        <w:spacing w:after="0" w:line="360" w:lineRule="auto"/>
        <w:jc w:val="both"/>
        <w:rPr>
          <w:rFonts w:ascii="Helvetica" w:hAnsi="Helvetica" w:cs="Helvetica"/>
          <w:sz w:val="20"/>
        </w:rPr>
      </w:pPr>
    </w:p>
    <w:p w14:paraId="41C1352A" w14:textId="7C71DAE0" w:rsidR="00EC0600" w:rsidRP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2. Sistema pagal 1 punktą, kur ant apatinių karkaso grindų (AG), žemiau antro aukšto grindų (AAG), yra išdėstyti PET ruošinių išvertėjas (1), kuris yra išdėstytas šalia PET ruošinių bunkerio (2); PET ruošinių bunkeris (2), apimantis PET ruošinių priėmimo iš išvertėjo (1) dalį (2.1) ir nuo jos, reguliuojamu kampu į viršų besitęsiančią ko</w:t>
      </w:r>
      <w:r w:rsidR="006F34C0">
        <w:rPr>
          <w:rFonts w:ascii="Helvetica" w:hAnsi="Helvetica" w:cs="Helvetica"/>
          <w:sz w:val="20"/>
        </w:rPr>
        <w:t>n</w:t>
      </w:r>
      <w:r w:rsidRPr="00EC0600">
        <w:rPr>
          <w:rFonts w:ascii="Helvetica" w:hAnsi="Helvetica" w:cs="Helvetica"/>
          <w:sz w:val="20"/>
        </w:rPr>
        <w:t>vejerinę dalį (2.2),</w:t>
      </w:r>
      <w:r w:rsidR="009B240E">
        <w:rPr>
          <w:rFonts w:ascii="Helvetica" w:hAnsi="Helvetica" w:cs="Helvetica"/>
          <w:sz w:val="20"/>
        </w:rPr>
        <w:t xml:space="preserve"> </w:t>
      </w:r>
      <w:r w:rsidRPr="00EC0600">
        <w:rPr>
          <w:rFonts w:ascii="Helvetica" w:hAnsi="Helvetica" w:cs="Helvetica"/>
          <w:sz w:val="20"/>
        </w:rPr>
        <w:t>skirtą PET ruošinių transportavimui į viršų, į PET ruošinių transportavimo konvejerį (3); PET ruošinių transportavimo konvejeris (3), apimantis konvejerinę dalį (3.1), kuri, reguliuojamai vertikalia kryptimi, yra įtvirtinta rėme (3.2), kuris yra pritvirtintas ant antro aukšto grindis (AAG) laikančių atraminių elementų (VB); iš esmės žemiau PET ruošinių transportavimo konvejerio (3) ir iš esmė</w:t>
      </w:r>
      <w:r w:rsidR="005C1A8E">
        <w:rPr>
          <w:rFonts w:ascii="Helvetica" w:hAnsi="Helvetica" w:cs="Helvetica"/>
          <w:sz w:val="20"/>
        </w:rPr>
        <w:t>s</w:t>
      </w:r>
      <w:r w:rsidRPr="00EC0600">
        <w:rPr>
          <w:rFonts w:ascii="Helvetica" w:hAnsi="Helvetica" w:cs="Helvetica"/>
          <w:sz w:val="20"/>
        </w:rPr>
        <w:t xml:space="preserve"> iškart po juo, ir pageidautinai lygiagrečiai jam, yra išdėstytas PET ruošinių orientatorius (4); PET ruošinių orientatoriaus ruošinių išvedimo gale (4.4) yra išdėstytas PET taros gamybos mazgas (5), kur PET taros gamybos mazgo (5) aukštis yra mažesnis negu antro aukšto grindų (AAG) aukštis, žiūrint nuo apatinių grindų (AG), kur PET taros gamybos mazgas (5) apima PET taros aušinimo ir sandarumo testavimo mazgą (6); bent vienas pagamintos PET taros transportavimo robotas (7.1, 7.2); pagamintos taros agregavimo konvejeris (8), kuris yra išdėstytas išilgai ir lygiagrečiai PET ruošinių transportavimo konvejerio (3) atžvilgiu; prie pagamintos taros agregavimo konvejerio (8) galo, kuris yra priešingas galui, kuriame PET taros transportavimo bent vienas robotas (7.1, 7.2) sudeda pagamintą PET tarą ant pagamintos taros agregavimo konvejerio (8), yra išdėstytas kartoninių lafetų ir lankstytų kartonų konvejerio (11) pirmas galas, kur kartoninių lafetų ir lankstytų kartonų konvejeris (11) yra išdėstytas santykinai statmenai pagamintos taros agregavimo konvejeriui (8) taip, kad kartoninių lafetų ir lankstytų kartonų konvejeris (11) tęstųsi nuo pirmo jo galo link antro jo galo, PET ruošinių transportavimo konvejerio (3) kryptimi, kur kartoninių lafetų ir lankstytų kartonų konvejeris (11) yra išdėstytas greta PET ruošinių orientatoriaus (4) reguliuojamo aukščio rėmo (4.6) ir tęsiasi už jo; lankstytų kartonų pervertimo mazgas (18), kuris yra išdėstytas iš karto prie kartoninių lafetų ir lankstytų kartonų konvejerio (11) antro galo, ir kuris yra tame pačiame aukštyje kaip ir kartoninių lafetų ir lankstytų kartonų transportavimo dalis, kur lankstytų kartonų pervertimo mazgas (18) yra išdėstytas greta PET ruošinių bunkerio (2), kur lankstyto kartono pervertimo mazgas (18) yra sumontuotas ant kartoninių lafetų ir lankstyto kartono konvejerio (11), šalia kartoninių lafetų manipuliatoriaus (10); taip pat, greta pervertimo mazgo (18), išilgai kartoninių lafetų ir lankstytų kartonų konvejerio (11) kryptimi ir tolyn nuo kartoninių lafetų ir lankstytų kartonų konvejerio (11) antro galo, yra išdėstytas kartoninių lafetų sandėliatorius (9), kuris tuo pačiu yra greta PET ruošinių išvertėjo (1); taip pat, virš kartoninių lafetų ir lankstytų kartonų konvejerio (11) ir iš esmės greta PET ruošinių bunkerio (2)</w:t>
      </w:r>
      <w:r w:rsidRPr="00EC0600">
        <w:rPr>
          <w:rFonts w:ascii="Helvetica" w:hAnsi="Helvetica" w:cs="Helvetica"/>
          <w:b/>
          <w:bCs/>
          <w:sz w:val="20"/>
        </w:rPr>
        <w:t xml:space="preserve"> </w:t>
      </w:r>
      <w:r w:rsidRPr="00EC0600">
        <w:rPr>
          <w:rFonts w:ascii="Helvetica" w:hAnsi="Helvetica" w:cs="Helvetica"/>
          <w:sz w:val="20"/>
        </w:rPr>
        <w:t xml:space="preserve">konvejerinės dalies (2.2), yra išdėstytas lankstytų kartonų bokštas (14), kurio apatinė dalis yra pastatyta ant kojų (14.1), kurios remiasi į apatines grindis (AG), o viršutinė dalis, su bokšto užkrovimo anga, išsikiša virš antro aukšto grindų (AAG), antro aukšto grindų plote; taip pat, prie kartoninių lafetų sandėliatoriaus (9) yra išdėstytas lafetų manipuliatorius (10), skirtas perkelti kartoniniams lafetams iš lafetų sandėliatoriaus (9) ant kartonų konvejerio galo, esančio šalia lafetų sandėliatoriaus (9), kur kartoninių lafetų manipuliatorius (10) yra išdėstytas iš esmės šalia kartoninių lafetų ir lankstytų kartonų konvejerio (11) ir lafetų sandėliatoriaus (9) galų, kurie yra vienas šalia kito ir priešingoje pusėje negu yra išdėstyti PET ruošinių išvertėjas (1) ir bunkeris (2); taip pat, greta kartoninių lafetų ir lankstytų kartonų konvejerio (11) pirmo galo, esančio šalia pagamintos PET taros </w:t>
      </w:r>
      <w:r w:rsidRPr="00EC0600">
        <w:rPr>
          <w:rFonts w:ascii="Helvetica" w:hAnsi="Helvetica" w:cs="Helvetica"/>
          <w:sz w:val="20"/>
        </w:rPr>
        <w:lastRenderedPageBreak/>
        <w:t>agregavimo konvejerio (8), yra išdėstytas pirmas palečių pakeltuvas (15), kur nuo pirmo palečių pakeltuvo (15), išilgai ir iš esmės lygiagrečiai kartoninių lafetų ir lankstytų kartonų konvejeriui (11), yra išdėstytas palečių konvejeris (16), kur palečių konvejeris (16) tęsiasi iki antro palečių pakeltuvo (19), esančio kitame palečių konvejerio (16) gale, greta kartoninių lafetų sandėliatoriaus (9); kur išilgai virš pagamintos PET taros agregavimo konvejerio (8) ir virš bent dalies kartoninių lafetų ir lankstytų kartonų konvejerio (11) pirmo galo yra sumontuotas pagamintos PET taros ir kartoninių lafetų ir lankstyto kartono manipuliatorius (17), skirtas perkelti PET tarą nuo pagamintos taros agregavimo konvejerio (8) ant paletės, esančios ant pirmo palečių pakeltuvo (15), esančio greta kartoninių lafetų ir lankstytų kartonų konvejerio (11) pirmo galo, kur PET taros, kartoninių lafetų ir lankstyto kartono manipuliatorius (17) apima rėmą (17.1), išdėstytą ir įtvirtintą karkase (K), prie galinės karkaso (K) sienos (GS), taros stalą (17.3),</w:t>
      </w:r>
      <w:r w:rsidR="00286A7E">
        <w:rPr>
          <w:rFonts w:ascii="Helvetica" w:hAnsi="Helvetica" w:cs="Helvetica"/>
          <w:sz w:val="20"/>
        </w:rPr>
        <w:t xml:space="preserve"> </w:t>
      </w:r>
      <w:r w:rsidRPr="00EC0600">
        <w:rPr>
          <w:rFonts w:ascii="Helvetica" w:hAnsi="Helvetica" w:cs="Helvetica"/>
          <w:sz w:val="20"/>
        </w:rPr>
        <w:t>su siurbtukais iš apačios, ir taros griebtuvą-suėmėją (17.2);</w:t>
      </w:r>
    </w:p>
    <w:p w14:paraId="2C215FF4" w14:textId="77777777" w:rsidR="00EC0600" w:rsidRPr="00EC0600" w:rsidRDefault="00EC0600" w:rsidP="00EC0600">
      <w:pPr>
        <w:spacing w:after="0" w:line="360" w:lineRule="auto"/>
        <w:jc w:val="both"/>
        <w:rPr>
          <w:rFonts w:ascii="Helvetica" w:hAnsi="Helvetica" w:cs="Helvetica"/>
          <w:sz w:val="20"/>
        </w:rPr>
      </w:pPr>
      <w:r w:rsidRPr="00EC0600">
        <w:rPr>
          <w:rFonts w:ascii="Helvetica" w:hAnsi="Helvetica" w:cs="Helvetica"/>
          <w:sz w:val="20"/>
        </w:rPr>
        <w:t>kur ant karkaso (K) antro aukšto grindų (AAG), virš kartoninių lafetų sandėliatoriaus (9), esančio šalia PET ruošinių išvertėjo (1), yra išdėstytas plastikinių rėmelių sandėliatorius (12), iš kurio rėmelius paima rėmelių manipuliatorius (13), sumontuotas greta rėmelių sandėliatoriaus (12).</w:t>
      </w:r>
    </w:p>
    <w:p w14:paraId="176AE95D" w14:textId="0A47EB94" w:rsidR="00EC0600" w:rsidRPr="00EC0600" w:rsidRDefault="00EC0600" w:rsidP="00EC0600">
      <w:pPr>
        <w:spacing w:after="0" w:line="360" w:lineRule="auto"/>
        <w:jc w:val="both"/>
        <w:rPr>
          <w:rFonts w:ascii="Helvetica" w:hAnsi="Helvetica" w:cs="Helvetica"/>
          <w:sz w:val="20"/>
        </w:rPr>
      </w:pPr>
    </w:p>
    <w:p w14:paraId="7B874077" w14:textId="7B5A8526" w:rsidR="00EC0600" w:rsidRP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3. Sistema pagal 1 arba 2 punktą, kur PET ruošinių orientatorius (4) apima PET ruošinių priėmimo iš PET ruošinių transportavimo konvejerio (3) dalį (4.1), per kurią PET ruošiniai patenka į orientatoriaus (4) konvejerines dalis (4.2, 4.3), kuriomis PET ruošiniai juda priešinga kryptimi negu PET ruošinių transportavimo konvejeriu (3), kur ruošinių orientatorius (4) taip pat apima suorientuotų PET ruošinių išvedimo galą (4.4), kuris pageidautinai yra per laikiklį pritvirtintas bent prie antro aukšto grindų (AAG) horizontalaus išilginio atraminio elemento (VB) arba grindų skydo (GS</w:t>
      </w:r>
      <w:r w:rsidRPr="00EC0600">
        <w:rPr>
          <w:rFonts w:ascii="Helvetica" w:hAnsi="Helvetica" w:cs="Helvetica"/>
          <w:sz w:val="20"/>
          <w:vertAlign w:val="subscript"/>
        </w:rPr>
        <w:t>2</w:t>
      </w:r>
      <w:r w:rsidRPr="00EC0600">
        <w:rPr>
          <w:rFonts w:ascii="Helvetica" w:hAnsi="Helvetica" w:cs="Helvetica"/>
          <w:sz w:val="20"/>
        </w:rPr>
        <w:t>) ir prie kito, vertikalia kryptimi nuo antro aukšto grindų (AAG) besitęsiančio elemento arba prie vertikalaus išilginio elemento besit</w:t>
      </w:r>
      <w:r w:rsidR="0084068C">
        <w:rPr>
          <w:rFonts w:ascii="Helvetica" w:hAnsi="Helvetica" w:cs="Helvetica"/>
          <w:sz w:val="20"/>
        </w:rPr>
        <w:t>ęs</w:t>
      </w:r>
      <w:r w:rsidRPr="00EC0600">
        <w:rPr>
          <w:rFonts w:ascii="Helvetica" w:hAnsi="Helvetica" w:cs="Helvetica"/>
          <w:sz w:val="20"/>
        </w:rPr>
        <w:t xml:space="preserve">iančio nuo tarpinio horizontalaus galinio išilginio elemento, kur orientatorius (4) yra pastatytas ant apatinių grindų (AG) ant reguliuojamo aukščio rėmo (4.6), kur orientatoriaus PET ruošinių išvedimo galas (4.4) yra nuvestas į PET taros gamybos mazgą (5). </w:t>
      </w:r>
    </w:p>
    <w:p w14:paraId="0EC11177" w14:textId="77777777" w:rsidR="00EC0600" w:rsidRPr="00EC0600" w:rsidRDefault="00EC0600" w:rsidP="00EC0600">
      <w:pPr>
        <w:spacing w:after="0" w:line="360" w:lineRule="auto"/>
        <w:jc w:val="both"/>
        <w:rPr>
          <w:rFonts w:ascii="Helvetica" w:hAnsi="Helvetica" w:cs="Helvetica"/>
          <w:sz w:val="20"/>
        </w:rPr>
      </w:pPr>
    </w:p>
    <w:p w14:paraId="1FC7BC01" w14:textId="77777777" w:rsidR="00EC0600" w:rsidRP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 xml:space="preserve">4. Sistema pagal bet kurį ankstesnį punktą, kur pirmas palečių pakeltuvas (15), ties kartoninių lafetų konvejerio (11) pirmu galu turi dvi padėtis: apatinę, kurioje perima paletę atvažiavusią apatine palečių konvejerio (16) dalimi (16.1), ir viršutinę padėtį, į kurią pakyla atvažiavus paletei, kur užbaigus butelių bokštą, jis pavažiuoja per vieną poziciją nuo pirmo palečių pakeltuvo (15) ant viršutinės konvejerio dalies (16.2), ir pirmu pakeltuvu (15) yra paimama kita paletė iš apačios, naujam butelių bokštui statyti, kur antras palečių pakeltuvas (19), esantis antrame palečių konvejerio (16) gale, greta kartoninių lafetų sandėliatoriaus (9), ant apatinių grindų (AG), yra skirtas palečių perdavimui į palečių konvejerio (16) apatinę dalį (16.2), sandėliavimui prieš padedant gamybą, kur minėtas palečių pakeltuvas (19) taip pat yra skirtas užbaigtų taros bokštų nuleidimui nuo konvejerio ir perdavimui į stropavimo mazgą (20). </w:t>
      </w:r>
    </w:p>
    <w:p w14:paraId="4C842790" w14:textId="77777777" w:rsidR="00EC0600" w:rsidRPr="00EC0600" w:rsidRDefault="00EC0600" w:rsidP="00EC0600">
      <w:pPr>
        <w:spacing w:after="0" w:line="360" w:lineRule="auto"/>
        <w:jc w:val="both"/>
        <w:rPr>
          <w:rFonts w:ascii="Helvetica" w:hAnsi="Helvetica" w:cs="Helvetica"/>
          <w:sz w:val="20"/>
        </w:rPr>
      </w:pPr>
    </w:p>
    <w:p w14:paraId="04EE97CF" w14:textId="1F66B1F2" w:rsidR="00EC0600" w:rsidRP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5. Sistema pagal bet kurį ankstesnį punktą, kur karkasas (K) apima periferinius sutvirtinimo skydus (S), karkaso horizontalius viršutinius šoninius išilginius elementus (VE</w:t>
      </w:r>
      <w:r w:rsidRPr="00EC0600">
        <w:rPr>
          <w:rFonts w:ascii="Helvetica" w:hAnsi="Helvetica" w:cs="Helvetica"/>
          <w:sz w:val="20"/>
          <w:vertAlign w:val="subscript"/>
        </w:rPr>
        <w:t xml:space="preserve">S1, </w:t>
      </w:r>
      <w:r w:rsidRPr="00EC0600">
        <w:rPr>
          <w:rFonts w:ascii="Helvetica" w:hAnsi="Helvetica" w:cs="Helvetica"/>
          <w:sz w:val="20"/>
        </w:rPr>
        <w:t>VE</w:t>
      </w:r>
      <w:r w:rsidRPr="00EC0600">
        <w:rPr>
          <w:rFonts w:ascii="Helvetica" w:hAnsi="Helvetica" w:cs="Helvetica"/>
          <w:sz w:val="20"/>
          <w:vertAlign w:val="subscript"/>
        </w:rPr>
        <w:t>S2</w:t>
      </w:r>
      <w:r w:rsidRPr="00EC0600">
        <w:rPr>
          <w:rFonts w:ascii="Helvetica" w:hAnsi="Helvetica" w:cs="Helvetica"/>
          <w:sz w:val="20"/>
        </w:rPr>
        <w:t>) ir karkaso horizontalius viršutinius galinį ir priekinį išilginius elementus (VE</w:t>
      </w:r>
      <w:r w:rsidRPr="00EC0600">
        <w:rPr>
          <w:rFonts w:ascii="Helvetica" w:hAnsi="Helvetica" w:cs="Helvetica"/>
          <w:sz w:val="20"/>
          <w:vertAlign w:val="subscript"/>
        </w:rPr>
        <w:t xml:space="preserve">G, </w:t>
      </w:r>
      <w:r w:rsidRPr="00EC0600">
        <w:rPr>
          <w:rFonts w:ascii="Helvetica" w:hAnsi="Helvetica" w:cs="Helvetica"/>
          <w:sz w:val="20"/>
        </w:rPr>
        <w:t>VE</w:t>
      </w:r>
      <w:r w:rsidRPr="00EC0600">
        <w:rPr>
          <w:rFonts w:ascii="Helvetica" w:hAnsi="Helvetica" w:cs="Helvetica"/>
          <w:sz w:val="20"/>
          <w:vertAlign w:val="subscript"/>
        </w:rPr>
        <w:t>P</w:t>
      </w:r>
      <w:r w:rsidRPr="00EC0600">
        <w:rPr>
          <w:rFonts w:ascii="Helvetica" w:hAnsi="Helvetica" w:cs="Helvetica"/>
          <w:sz w:val="20"/>
        </w:rPr>
        <w:t>), tarpusavyje sujungtus horizontalioje plokštumoje, ties jų galais, kur karkasas (K) taip pat apima karkaso vertikalius kampinius išilginius elementus (KE), vertikalia kryptimi sujungiančius horizontalius viršutinius išilginius šoninius elementus (VE</w:t>
      </w:r>
      <w:r w:rsidRPr="00EC0600">
        <w:rPr>
          <w:rFonts w:ascii="Helvetica" w:hAnsi="Helvetica" w:cs="Helvetica"/>
          <w:sz w:val="20"/>
          <w:vertAlign w:val="subscript"/>
        </w:rPr>
        <w:t xml:space="preserve">S1, </w:t>
      </w:r>
      <w:r w:rsidRPr="00EC0600">
        <w:rPr>
          <w:rFonts w:ascii="Helvetica" w:hAnsi="Helvetica" w:cs="Helvetica"/>
          <w:sz w:val="20"/>
        </w:rPr>
        <w:t>VE</w:t>
      </w:r>
      <w:r w:rsidRPr="00EC0600">
        <w:rPr>
          <w:rFonts w:ascii="Helvetica" w:hAnsi="Helvetica" w:cs="Helvetica"/>
          <w:sz w:val="20"/>
          <w:vertAlign w:val="subscript"/>
        </w:rPr>
        <w:t>S2</w:t>
      </w:r>
      <w:r w:rsidRPr="00EC0600">
        <w:rPr>
          <w:rFonts w:ascii="Helvetica" w:hAnsi="Helvetica" w:cs="Helvetica"/>
          <w:sz w:val="20"/>
        </w:rPr>
        <w:t>) ir karkaso horizontalius viršutinius galinį (VE</w:t>
      </w:r>
      <w:r w:rsidRPr="00EC0600">
        <w:rPr>
          <w:rFonts w:ascii="Helvetica" w:hAnsi="Helvetica" w:cs="Helvetica"/>
          <w:sz w:val="20"/>
          <w:vertAlign w:val="subscript"/>
        </w:rPr>
        <w:t>G</w:t>
      </w:r>
      <w:r w:rsidRPr="00EC0600">
        <w:rPr>
          <w:rFonts w:ascii="Helvetica" w:hAnsi="Helvetica" w:cs="Helvetica"/>
          <w:sz w:val="20"/>
        </w:rPr>
        <w:t>) ir priekinį (VE</w:t>
      </w:r>
      <w:r w:rsidRPr="00EC0600">
        <w:rPr>
          <w:rFonts w:ascii="Helvetica" w:hAnsi="Helvetica" w:cs="Helvetica"/>
          <w:sz w:val="20"/>
          <w:vertAlign w:val="subscript"/>
        </w:rPr>
        <w:t>P</w:t>
      </w:r>
      <w:r w:rsidRPr="00EC0600">
        <w:rPr>
          <w:rFonts w:ascii="Helvetica" w:hAnsi="Helvetica" w:cs="Helvetica"/>
          <w:sz w:val="20"/>
        </w:rPr>
        <w:t>) išilginius elementus</w:t>
      </w:r>
      <w:r w:rsidRPr="00EC0600">
        <w:rPr>
          <w:rFonts w:ascii="Helvetica" w:hAnsi="Helvetica" w:cs="Helvetica"/>
          <w:sz w:val="20"/>
          <w:vertAlign w:val="subscript"/>
        </w:rPr>
        <w:t xml:space="preserve"> </w:t>
      </w:r>
      <w:r w:rsidRPr="00EC0600">
        <w:rPr>
          <w:rFonts w:ascii="Helvetica" w:hAnsi="Helvetica" w:cs="Helvetica"/>
          <w:sz w:val="20"/>
        </w:rPr>
        <w:t>su atitinkamai toje pačioje plokštumoje, apačioje, esančiais horizontaliais apatiniais išilginiais elementais (AEs</w:t>
      </w:r>
      <w:r w:rsidRPr="00EC0600">
        <w:rPr>
          <w:rFonts w:ascii="Helvetica" w:hAnsi="Helvetica" w:cs="Helvetica"/>
          <w:sz w:val="20"/>
          <w:vertAlign w:val="subscript"/>
        </w:rPr>
        <w:t xml:space="preserve">1, </w:t>
      </w:r>
      <w:r w:rsidRPr="00EC0600">
        <w:rPr>
          <w:rFonts w:ascii="Helvetica" w:hAnsi="Helvetica" w:cs="Helvetica"/>
          <w:sz w:val="20"/>
        </w:rPr>
        <w:t>AEs</w:t>
      </w:r>
      <w:r w:rsidRPr="00EC0600">
        <w:rPr>
          <w:rFonts w:ascii="Helvetica" w:hAnsi="Helvetica" w:cs="Helvetica"/>
          <w:sz w:val="20"/>
          <w:vertAlign w:val="subscript"/>
        </w:rPr>
        <w:t>2,</w:t>
      </w:r>
      <w:r w:rsidRPr="00EC0600">
        <w:rPr>
          <w:rFonts w:ascii="Helvetica" w:hAnsi="Helvetica" w:cs="Helvetica"/>
          <w:sz w:val="20"/>
        </w:rPr>
        <w:t xml:space="preserve"> AE</w:t>
      </w:r>
      <w:r w:rsidRPr="00EC0600">
        <w:rPr>
          <w:rFonts w:ascii="Helvetica" w:hAnsi="Helvetica" w:cs="Helvetica"/>
          <w:sz w:val="20"/>
          <w:vertAlign w:val="subscript"/>
        </w:rPr>
        <w:t>G,</w:t>
      </w:r>
      <w:r w:rsidRPr="00EC0600">
        <w:rPr>
          <w:rFonts w:ascii="Helvetica" w:hAnsi="Helvetica" w:cs="Helvetica"/>
          <w:sz w:val="20"/>
        </w:rPr>
        <w:t xml:space="preserve"> AE</w:t>
      </w:r>
      <w:r w:rsidRPr="00EC0600">
        <w:rPr>
          <w:rFonts w:ascii="Helvetica" w:hAnsi="Helvetica" w:cs="Helvetica"/>
          <w:sz w:val="20"/>
          <w:vertAlign w:val="subscript"/>
        </w:rPr>
        <w:t>P</w:t>
      </w:r>
      <w:r w:rsidRPr="00EC0600">
        <w:rPr>
          <w:rFonts w:ascii="Helvetica" w:hAnsi="Helvetica" w:cs="Helvetica"/>
          <w:sz w:val="20"/>
        </w:rPr>
        <w:t>), kur pirmos pusės horizontalus viršutinis šoninis išilginis elementas (VE</w:t>
      </w:r>
      <w:r w:rsidRPr="00EC0600">
        <w:rPr>
          <w:rFonts w:ascii="Helvetica" w:hAnsi="Helvetica" w:cs="Helvetica"/>
          <w:sz w:val="20"/>
          <w:vertAlign w:val="subscript"/>
        </w:rPr>
        <w:t>S1</w:t>
      </w:r>
      <w:r w:rsidRPr="00EC0600">
        <w:rPr>
          <w:rFonts w:ascii="Helvetica" w:hAnsi="Helvetica" w:cs="Helvetica"/>
          <w:sz w:val="20"/>
        </w:rPr>
        <w:t>) taip pat yra sujungtas su atitinkamai toje pačioje plokštumoje, tarp horizontalaus viršutinio šoninio išilginio elemento (VE</w:t>
      </w:r>
      <w:r w:rsidRPr="00EC0600">
        <w:rPr>
          <w:rFonts w:ascii="Helvetica" w:hAnsi="Helvetica" w:cs="Helvetica"/>
          <w:sz w:val="20"/>
          <w:vertAlign w:val="subscript"/>
        </w:rPr>
        <w:t>S1</w:t>
      </w:r>
      <w:r w:rsidRPr="00EC0600">
        <w:rPr>
          <w:rFonts w:ascii="Helvetica" w:hAnsi="Helvetica" w:cs="Helvetica"/>
          <w:sz w:val="20"/>
        </w:rPr>
        <w:t xml:space="preserve">) ir apatinio horizontalaus šoninio išilginio elemento </w:t>
      </w:r>
      <w:r w:rsidRPr="00EC0600">
        <w:rPr>
          <w:rFonts w:ascii="Helvetica" w:hAnsi="Helvetica" w:cs="Helvetica"/>
          <w:sz w:val="20"/>
        </w:rPr>
        <w:lastRenderedPageBreak/>
        <w:t>(AE</w:t>
      </w:r>
      <w:r w:rsidRPr="00EC0600">
        <w:rPr>
          <w:rFonts w:ascii="Helvetica" w:hAnsi="Helvetica" w:cs="Helvetica"/>
          <w:sz w:val="20"/>
          <w:vertAlign w:val="subscript"/>
        </w:rPr>
        <w:t>1</w:t>
      </w:r>
      <w:r w:rsidRPr="00EC0600">
        <w:rPr>
          <w:rFonts w:ascii="Helvetica" w:hAnsi="Helvetica" w:cs="Helvetica"/>
          <w:sz w:val="20"/>
        </w:rPr>
        <w:t>), esančiu tarpiniu horizontaliu šoniniu išilginiu elementu (TE</w:t>
      </w:r>
      <w:r w:rsidRPr="00EC0600">
        <w:rPr>
          <w:rFonts w:ascii="Helvetica" w:hAnsi="Helvetica" w:cs="Helvetica"/>
          <w:sz w:val="20"/>
          <w:vertAlign w:val="subscript"/>
        </w:rPr>
        <w:t>H1</w:t>
      </w:r>
      <w:r w:rsidRPr="00EC0600">
        <w:rPr>
          <w:rFonts w:ascii="Helvetica" w:hAnsi="Helvetica" w:cs="Helvetica"/>
          <w:sz w:val="20"/>
        </w:rPr>
        <w:t>), naudojant vertikalius tarpinius išilginius elementus (TE</w:t>
      </w:r>
      <w:r w:rsidRPr="00EC0600">
        <w:rPr>
          <w:rFonts w:ascii="Helvetica" w:hAnsi="Helvetica" w:cs="Helvetica"/>
          <w:sz w:val="20"/>
          <w:vertAlign w:val="subscript"/>
        </w:rPr>
        <w:t>V3</w:t>
      </w:r>
      <w:r w:rsidRPr="00EC0600">
        <w:rPr>
          <w:rFonts w:ascii="Helvetica" w:hAnsi="Helvetica" w:cs="Helvetica"/>
          <w:sz w:val="20"/>
        </w:rPr>
        <w:t>), kur tarpinis horizontalus šoninis išilginis elementas (TE</w:t>
      </w:r>
      <w:r w:rsidRPr="00EC0600">
        <w:rPr>
          <w:rFonts w:ascii="Helvetica" w:hAnsi="Helvetica" w:cs="Helvetica"/>
          <w:sz w:val="20"/>
          <w:vertAlign w:val="subscript"/>
        </w:rPr>
        <w:t>H1</w:t>
      </w:r>
      <w:r w:rsidRPr="00EC0600">
        <w:rPr>
          <w:rFonts w:ascii="Helvetica" w:hAnsi="Helvetica" w:cs="Helvetica"/>
          <w:sz w:val="20"/>
        </w:rPr>
        <w:t>) taip pat yra sujungtas su horizontaliu apatiniu išilginiu elementu (AEs</w:t>
      </w:r>
      <w:r w:rsidRPr="00EC0600">
        <w:rPr>
          <w:rFonts w:ascii="Helvetica" w:hAnsi="Helvetica" w:cs="Helvetica"/>
          <w:sz w:val="20"/>
          <w:vertAlign w:val="subscript"/>
        </w:rPr>
        <w:t>1</w:t>
      </w:r>
      <w:r w:rsidRPr="00EC0600">
        <w:rPr>
          <w:rFonts w:ascii="Helvetica" w:hAnsi="Helvetica" w:cs="Helvetica"/>
          <w:sz w:val="20"/>
        </w:rPr>
        <w:t>), naudojant vertikalius tarpinius išilginius elementus (TE</w:t>
      </w:r>
      <w:r w:rsidRPr="00EC0600">
        <w:rPr>
          <w:rFonts w:ascii="Helvetica" w:hAnsi="Helvetica" w:cs="Helvetica"/>
          <w:sz w:val="20"/>
          <w:vertAlign w:val="subscript"/>
        </w:rPr>
        <w:t>V4</w:t>
      </w:r>
      <w:r w:rsidRPr="00EC0600">
        <w:rPr>
          <w:rFonts w:ascii="Helvetica" w:hAnsi="Helvetica" w:cs="Helvetica"/>
          <w:sz w:val="20"/>
        </w:rPr>
        <w:t>), kur karkasas (K) papildomai apima bent vieną horizontalų viršutinį skersinį išilginį elementą (VS</w:t>
      </w:r>
      <w:r w:rsidRPr="00EC0600">
        <w:rPr>
          <w:rFonts w:ascii="Helvetica" w:hAnsi="Helvetica" w:cs="Helvetica"/>
          <w:sz w:val="20"/>
          <w:vertAlign w:val="subscript"/>
        </w:rPr>
        <w:t>E1</w:t>
      </w:r>
      <w:r w:rsidRPr="00EC0600">
        <w:rPr>
          <w:rFonts w:ascii="Helvetica" w:hAnsi="Helvetica" w:cs="Helvetica"/>
          <w:sz w:val="20"/>
        </w:rPr>
        <w:t>), besitęsiantį, pageidaujamai stačiu kampu, tarp horizontalių viršutinių šoninių išilginių elementų (VE</w:t>
      </w:r>
      <w:r w:rsidRPr="00EC0600">
        <w:rPr>
          <w:rFonts w:ascii="Helvetica" w:hAnsi="Helvetica" w:cs="Helvetica"/>
          <w:sz w:val="20"/>
          <w:vertAlign w:val="subscript"/>
        </w:rPr>
        <w:t xml:space="preserve">S1, </w:t>
      </w:r>
      <w:r w:rsidRPr="00EC0600">
        <w:rPr>
          <w:rFonts w:ascii="Helvetica" w:hAnsi="Helvetica" w:cs="Helvetica"/>
          <w:sz w:val="20"/>
        </w:rPr>
        <w:t>VE</w:t>
      </w:r>
      <w:r w:rsidRPr="00EC0600">
        <w:rPr>
          <w:rFonts w:ascii="Helvetica" w:hAnsi="Helvetica" w:cs="Helvetica"/>
          <w:sz w:val="20"/>
          <w:vertAlign w:val="subscript"/>
        </w:rPr>
        <w:t>S2</w:t>
      </w:r>
      <w:r w:rsidRPr="00EC0600">
        <w:rPr>
          <w:rFonts w:ascii="Helvetica" w:hAnsi="Helvetica" w:cs="Helvetica"/>
          <w:sz w:val="20"/>
        </w:rPr>
        <w:t>) ir prie jų pritvirtintą jo galuose, kur karkasas (K) apima bent vieną papildomą horizontalų viršutinį skersinį išilginį elementą (VS</w:t>
      </w:r>
      <w:r w:rsidRPr="00EC0600">
        <w:rPr>
          <w:rFonts w:ascii="Helvetica" w:hAnsi="Helvetica" w:cs="Helvetica"/>
          <w:sz w:val="20"/>
          <w:vertAlign w:val="subscript"/>
        </w:rPr>
        <w:t>E2</w:t>
      </w:r>
      <w:r w:rsidRPr="00EC0600">
        <w:rPr>
          <w:rFonts w:ascii="Helvetica" w:hAnsi="Helvetica" w:cs="Helvetica"/>
          <w:sz w:val="20"/>
        </w:rPr>
        <w:t>), besitęsiantį, pageidaujamai stačiu kampu, tarp horizontalaus viršutinio skersinio išilginio elemento (VS</w:t>
      </w:r>
      <w:r w:rsidRPr="00EC0600">
        <w:rPr>
          <w:rFonts w:ascii="Helvetica" w:hAnsi="Helvetica" w:cs="Helvetica"/>
          <w:sz w:val="20"/>
          <w:vertAlign w:val="subscript"/>
        </w:rPr>
        <w:t>E1</w:t>
      </w:r>
      <w:r w:rsidRPr="00EC0600">
        <w:rPr>
          <w:rFonts w:ascii="Helvetica" w:hAnsi="Helvetica" w:cs="Helvetica"/>
          <w:sz w:val="20"/>
        </w:rPr>
        <w:t>), besitęsiančio, pageidaujamai stačiu kampu, tarp horizontalių viršutinių šoninių išilginių elementų (VE</w:t>
      </w:r>
      <w:r w:rsidRPr="00EC0600">
        <w:rPr>
          <w:rFonts w:ascii="Helvetica" w:hAnsi="Helvetica" w:cs="Helvetica"/>
          <w:sz w:val="20"/>
          <w:vertAlign w:val="subscript"/>
        </w:rPr>
        <w:t xml:space="preserve">S1, </w:t>
      </w:r>
      <w:r w:rsidRPr="00EC0600">
        <w:rPr>
          <w:rFonts w:ascii="Helvetica" w:hAnsi="Helvetica" w:cs="Helvetica"/>
          <w:sz w:val="20"/>
        </w:rPr>
        <w:t>VE</w:t>
      </w:r>
      <w:r w:rsidRPr="00EC0600">
        <w:rPr>
          <w:rFonts w:ascii="Helvetica" w:hAnsi="Helvetica" w:cs="Helvetica"/>
          <w:sz w:val="20"/>
          <w:vertAlign w:val="subscript"/>
        </w:rPr>
        <w:t>S2</w:t>
      </w:r>
      <w:r w:rsidRPr="00EC0600">
        <w:rPr>
          <w:rFonts w:ascii="Helvetica" w:hAnsi="Helvetica" w:cs="Helvetica"/>
          <w:sz w:val="20"/>
        </w:rPr>
        <w:t>), ir tarp karkaso horizontalaus viršutinio priekinio išilginio elemento (</w:t>
      </w:r>
      <w:r w:rsidRPr="00EC0600">
        <w:rPr>
          <w:rFonts w:ascii="Helvetica" w:hAnsi="Helvetica" w:cs="Helvetica"/>
          <w:sz w:val="20"/>
          <w:vertAlign w:val="subscript"/>
        </w:rPr>
        <w:t xml:space="preserve"> </w:t>
      </w:r>
      <w:r w:rsidRPr="00EC0600">
        <w:rPr>
          <w:rFonts w:ascii="Helvetica" w:hAnsi="Helvetica" w:cs="Helvetica"/>
          <w:sz w:val="20"/>
        </w:rPr>
        <w:t>VE</w:t>
      </w:r>
      <w:r w:rsidRPr="00EC0600">
        <w:rPr>
          <w:rFonts w:ascii="Helvetica" w:hAnsi="Helvetica" w:cs="Helvetica"/>
          <w:sz w:val="20"/>
          <w:vertAlign w:val="subscript"/>
        </w:rPr>
        <w:t>P</w:t>
      </w:r>
      <w:r w:rsidRPr="00EC0600">
        <w:rPr>
          <w:rFonts w:ascii="Helvetica" w:hAnsi="Helvetica" w:cs="Helvetica"/>
          <w:sz w:val="20"/>
        </w:rPr>
        <w:t>), kur antro aukšto grindys (AAG) yra įtvirtintos tarp pirmo tarpinio horizontalaus šoninio išilginio elemento (TE</w:t>
      </w:r>
      <w:r w:rsidRPr="00EC0600">
        <w:rPr>
          <w:rFonts w:ascii="Helvetica" w:hAnsi="Helvetica" w:cs="Helvetica"/>
          <w:sz w:val="20"/>
          <w:vertAlign w:val="subscript"/>
        </w:rPr>
        <w:t>H1</w:t>
      </w:r>
      <w:r w:rsidRPr="00EC0600">
        <w:rPr>
          <w:rFonts w:ascii="Helvetica" w:hAnsi="Helvetica" w:cs="Helvetica"/>
          <w:sz w:val="20"/>
        </w:rPr>
        <w:t>), tarp antro tarpinio horizontalaus šoninio išilginio elemento (TE</w:t>
      </w:r>
      <w:r w:rsidRPr="00EC0600">
        <w:rPr>
          <w:rFonts w:ascii="Helvetica" w:hAnsi="Helvetica" w:cs="Helvetica"/>
          <w:sz w:val="20"/>
          <w:vertAlign w:val="subscript"/>
        </w:rPr>
        <w:t>H2</w:t>
      </w:r>
      <w:r w:rsidRPr="00EC0600">
        <w:rPr>
          <w:rFonts w:ascii="Helvetica" w:hAnsi="Helvetica" w:cs="Helvetica"/>
          <w:sz w:val="20"/>
        </w:rPr>
        <w:t>), tarpinio horizontalaus galinio išilginio elemento arba elementų ir tarpinio horizontalaus priekinio išilginio elemento (TE</w:t>
      </w:r>
      <w:r w:rsidRPr="00EC0600">
        <w:rPr>
          <w:rFonts w:ascii="Helvetica" w:hAnsi="Helvetica" w:cs="Helvetica"/>
          <w:sz w:val="20"/>
          <w:vertAlign w:val="subscript"/>
        </w:rPr>
        <w:t>P</w:t>
      </w:r>
      <w:r w:rsidRPr="00EC0600">
        <w:rPr>
          <w:rFonts w:ascii="Helvetica" w:hAnsi="Helvetica" w:cs="Helvetica"/>
          <w:sz w:val="20"/>
        </w:rPr>
        <w:t>), kur būtų išdėstyti grindų skydai (GS</w:t>
      </w:r>
      <w:r w:rsidRPr="00EC0600">
        <w:rPr>
          <w:rFonts w:ascii="Helvetica" w:hAnsi="Helvetica" w:cs="Helvetica"/>
          <w:sz w:val="20"/>
          <w:vertAlign w:val="subscript"/>
        </w:rPr>
        <w:t>2</w:t>
      </w:r>
      <w:r w:rsidRPr="00EC0600">
        <w:rPr>
          <w:rFonts w:ascii="Helvetica" w:hAnsi="Helvetica" w:cs="Helvetica"/>
          <w:sz w:val="20"/>
        </w:rPr>
        <w:t>), kur antro aukšto grindų (AAG) skydai (GS</w:t>
      </w:r>
      <w:r w:rsidRPr="00EC0600">
        <w:rPr>
          <w:rFonts w:ascii="Helvetica" w:hAnsi="Helvetica" w:cs="Helvetica"/>
          <w:sz w:val="20"/>
          <w:vertAlign w:val="subscript"/>
        </w:rPr>
        <w:t>2</w:t>
      </w:r>
      <w:r w:rsidRPr="00EC0600">
        <w:rPr>
          <w:rFonts w:ascii="Helvetica" w:hAnsi="Helvetica" w:cs="Helvetica"/>
          <w:sz w:val="20"/>
        </w:rPr>
        <w:t>) sudaro mažesnį plotą negu apatinių grindų (AG) skydai (GS</w:t>
      </w:r>
      <w:r w:rsidRPr="00EC0600">
        <w:rPr>
          <w:rFonts w:ascii="Helvetica" w:hAnsi="Helvetica" w:cs="Helvetica"/>
          <w:sz w:val="20"/>
          <w:vertAlign w:val="subscript"/>
        </w:rPr>
        <w:t>1</w:t>
      </w:r>
      <w:r w:rsidRPr="00EC0600">
        <w:rPr>
          <w:rFonts w:ascii="Helvetica" w:hAnsi="Helvetica" w:cs="Helvetica"/>
          <w:sz w:val="20"/>
        </w:rPr>
        <w:t>), kur antro aukšto grindis (AAG) laikantys atraminiai elementai (VB) pageidaujamai yra pritvirtinti tarp tarpinio horizontalaus šoninio išilginio elemento (TE</w:t>
      </w:r>
      <w:r w:rsidRPr="00EC0600">
        <w:rPr>
          <w:rFonts w:ascii="Helvetica" w:hAnsi="Helvetica" w:cs="Helvetica"/>
          <w:sz w:val="20"/>
          <w:vertAlign w:val="subscript"/>
        </w:rPr>
        <w:t>H1</w:t>
      </w:r>
      <w:r w:rsidRPr="00EC0600">
        <w:rPr>
          <w:rFonts w:ascii="Helvetica" w:hAnsi="Helvetica" w:cs="Helvetica"/>
          <w:sz w:val="20"/>
        </w:rPr>
        <w:t>), tarp antro tarpinio horizontalaus šoninio išilginio elemento (TE</w:t>
      </w:r>
      <w:r w:rsidRPr="00EC0600">
        <w:rPr>
          <w:rFonts w:ascii="Helvetica" w:hAnsi="Helvetica" w:cs="Helvetica"/>
          <w:sz w:val="20"/>
          <w:vertAlign w:val="subscript"/>
        </w:rPr>
        <w:t>H2</w:t>
      </w:r>
      <w:r w:rsidRPr="00EC0600">
        <w:rPr>
          <w:rFonts w:ascii="Helvetica" w:hAnsi="Helvetica" w:cs="Helvetica"/>
          <w:sz w:val="20"/>
        </w:rPr>
        <w:t>), tarpinio horizontalaus galinio išilginio elemento arba elementų ir tarpinio horizontalaus priekinio išilginio elemento (TE</w:t>
      </w:r>
      <w:r w:rsidRPr="00EC0600">
        <w:rPr>
          <w:rFonts w:ascii="Helvetica" w:hAnsi="Helvetica" w:cs="Helvetica"/>
          <w:sz w:val="20"/>
          <w:vertAlign w:val="subscript"/>
        </w:rPr>
        <w:t>P</w:t>
      </w:r>
      <w:r w:rsidRPr="00EC0600">
        <w:rPr>
          <w:rFonts w:ascii="Helvetica" w:hAnsi="Helvetica" w:cs="Helvetica"/>
          <w:sz w:val="20"/>
        </w:rPr>
        <w:t xml:space="preserve">). </w:t>
      </w:r>
    </w:p>
    <w:p w14:paraId="5042812B" w14:textId="77777777" w:rsidR="00EC0600" w:rsidRPr="00EC0600" w:rsidRDefault="00EC0600" w:rsidP="00EC0600">
      <w:pPr>
        <w:spacing w:after="0" w:line="360" w:lineRule="auto"/>
        <w:jc w:val="both"/>
        <w:rPr>
          <w:rFonts w:ascii="Helvetica" w:hAnsi="Helvetica" w:cs="Helvetica"/>
          <w:sz w:val="20"/>
        </w:rPr>
      </w:pPr>
    </w:p>
    <w:p w14:paraId="4FCC0F25" w14:textId="22622577" w:rsidR="0018473C" w:rsidRPr="00EC0600" w:rsidRDefault="00EC0600" w:rsidP="00EC0600">
      <w:pPr>
        <w:spacing w:after="0" w:line="360" w:lineRule="auto"/>
        <w:ind w:firstLine="567"/>
        <w:jc w:val="both"/>
        <w:rPr>
          <w:rFonts w:ascii="Helvetica" w:hAnsi="Helvetica" w:cs="Helvetica"/>
          <w:sz w:val="20"/>
        </w:rPr>
      </w:pPr>
      <w:r w:rsidRPr="00EC0600">
        <w:rPr>
          <w:rFonts w:ascii="Helvetica" w:hAnsi="Helvetica" w:cs="Helvetica"/>
          <w:sz w:val="20"/>
        </w:rPr>
        <w:t>6. Sistema pagal bet kurį ankstesnį punktą, kur karkasas (K) sudaro dviaukštę, kubo arba stačiakampio gretasienio tūrinę formą.</w:t>
      </w:r>
    </w:p>
    <w:sectPr w:rsidR="0018473C" w:rsidRPr="00EC0600" w:rsidSect="00EC060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29D1" w14:textId="77777777" w:rsidR="00990C05" w:rsidRDefault="00990C05" w:rsidP="00EC0600">
      <w:pPr>
        <w:spacing w:after="0" w:line="240" w:lineRule="auto"/>
      </w:pPr>
      <w:r>
        <w:separator/>
      </w:r>
    </w:p>
  </w:endnote>
  <w:endnote w:type="continuationSeparator" w:id="0">
    <w:p w14:paraId="37070219" w14:textId="77777777" w:rsidR="00990C05" w:rsidRDefault="00990C05" w:rsidP="00EC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47A6" w14:textId="77777777" w:rsidR="00990C05" w:rsidRDefault="00990C05" w:rsidP="00EC0600">
      <w:pPr>
        <w:spacing w:after="0" w:line="240" w:lineRule="auto"/>
      </w:pPr>
      <w:r>
        <w:separator/>
      </w:r>
    </w:p>
  </w:footnote>
  <w:footnote w:type="continuationSeparator" w:id="0">
    <w:p w14:paraId="408F8EF6" w14:textId="77777777" w:rsidR="00990C05" w:rsidRDefault="00990C05" w:rsidP="00EC0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00"/>
    <w:rsid w:val="0000726D"/>
    <w:rsid w:val="0003192D"/>
    <w:rsid w:val="000657CC"/>
    <w:rsid w:val="00091494"/>
    <w:rsid w:val="000B1DE7"/>
    <w:rsid w:val="00100598"/>
    <w:rsid w:val="001340E0"/>
    <w:rsid w:val="00142022"/>
    <w:rsid w:val="0018473C"/>
    <w:rsid w:val="001A66DC"/>
    <w:rsid w:val="001C5483"/>
    <w:rsid w:val="001D55F6"/>
    <w:rsid w:val="00220F37"/>
    <w:rsid w:val="00276E95"/>
    <w:rsid w:val="0028658E"/>
    <w:rsid w:val="00286A7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C1A8E"/>
    <w:rsid w:val="005E010A"/>
    <w:rsid w:val="00610A52"/>
    <w:rsid w:val="00620AE2"/>
    <w:rsid w:val="00643847"/>
    <w:rsid w:val="006A050F"/>
    <w:rsid w:val="006C47E9"/>
    <w:rsid w:val="006F34C0"/>
    <w:rsid w:val="006F782C"/>
    <w:rsid w:val="0073638B"/>
    <w:rsid w:val="007440F4"/>
    <w:rsid w:val="00774239"/>
    <w:rsid w:val="007D308B"/>
    <w:rsid w:val="0084068C"/>
    <w:rsid w:val="00890960"/>
    <w:rsid w:val="008B787F"/>
    <w:rsid w:val="008E1C0A"/>
    <w:rsid w:val="00904B41"/>
    <w:rsid w:val="00947F90"/>
    <w:rsid w:val="009834FF"/>
    <w:rsid w:val="00990C05"/>
    <w:rsid w:val="009B240E"/>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C0600"/>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55A5A"/>
  <w14:defaultImageDpi w14:val="32767"/>
  <w15:chartTrackingRefBased/>
  <w15:docId w15:val="{2B9FAF03-116A-430B-81B9-2A76977A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6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0600"/>
  </w:style>
  <w:style w:type="paragraph" w:styleId="Footer">
    <w:name w:val="footer"/>
    <w:basedOn w:val="Normal"/>
    <w:link w:val="FooterChar"/>
    <w:uiPriority w:val="99"/>
    <w:unhideWhenUsed/>
    <w:rsid w:val="00EC06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0600"/>
  </w:style>
  <w:style w:type="paragraph" w:styleId="ListParagraph">
    <w:name w:val="List Paragraph"/>
    <w:basedOn w:val="Normal"/>
    <w:uiPriority w:val="34"/>
    <w:qFormat/>
    <w:rsid w:val="00EC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6951</Words>
  <Characters>3963</Characters>
  <Application>Microsoft Office Word</Application>
  <DocSecurity>0</DocSecurity>
  <Lines>33</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6</cp:revision>
  <dcterms:created xsi:type="dcterms:W3CDTF">2023-04-13T14:27:00Z</dcterms:created>
  <dcterms:modified xsi:type="dcterms:W3CDTF">2023-05-02T14:48:00Z</dcterms:modified>
</cp:coreProperties>
</file>