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83C1" w14:textId="77777777" w:rsidR="004C1764" w:rsidRPr="004C1764" w:rsidRDefault="004C1764" w:rsidP="004C1764">
      <w:pPr>
        <w:spacing w:after="0" w:line="360" w:lineRule="auto"/>
        <w:ind w:firstLine="567"/>
        <w:jc w:val="both"/>
        <w:rPr>
          <w:rFonts w:ascii="Helvetica" w:hAnsi="Helvetica" w:cstheme="majorBidi"/>
          <w:sz w:val="20"/>
          <w:szCs w:val="24"/>
        </w:rPr>
      </w:pPr>
      <w:r w:rsidRPr="004C1764">
        <w:rPr>
          <w:rFonts w:ascii="Helvetica" w:hAnsi="Helvetica" w:cstheme="majorBidi"/>
          <w:sz w:val="20"/>
          <w:szCs w:val="24"/>
        </w:rPr>
        <w:t xml:space="preserve">1. Griebtuvo greito pakeitimo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sistema, apimanti </w:t>
      </w:r>
    </w:p>
    <w:p w14:paraId="21F56BA2" w14:textId="7777777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griebtuvo pirštą, užrakinimo kaištį ir </w:t>
      </w:r>
      <w:proofErr w:type="spellStart"/>
      <w:r w:rsidRPr="004C1764">
        <w:rPr>
          <w:rFonts w:ascii="Helvetica" w:hAnsi="Helvetica" w:cstheme="majorBidi"/>
          <w:sz w:val="20"/>
          <w:szCs w:val="24"/>
        </w:rPr>
        <w:t>žiaunelę</w:t>
      </w:r>
      <w:proofErr w:type="spellEnd"/>
      <w:r w:rsidRPr="004C1764">
        <w:rPr>
          <w:rFonts w:ascii="Helvetica" w:hAnsi="Helvetica" w:cstheme="majorBidi"/>
          <w:sz w:val="20"/>
          <w:szCs w:val="24"/>
        </w:rPr>
        <w:t xml:space="preserve">, kur griebtuvo piršto vienas galas yra skirtas įtvirtinti į griebtuvą, o kitas galas yra laisvas ir skirtas sąveikauti su </w:t>
      </w:r>
      <w:proofErr w:type="spellStart"/>
      <w:r w:rsidRPr="004C1764">
        <w:rPr>
          <w:rFonts w:ascii="Helvetica" w:hAnsi="Helvetica" w:cstheme="majorBidi"/>
          <w:sz w:val="20"/>
          <w:szCs w:val="24"/>
        </w:rPr>
        <w:t>žiaunele</w:t>
      </w:r>
      <w:proofErr w:type="spellEnd"/>
      <w:r w:rsidRPr="004C1764">
        <w:rPr>
          <w:rFonts w:ascii="Helvetica" w:hAnsi="Helvetica" w:cstheme="majorBidi"/>
          <w:sz w:val="20"/>
          <w:szCs w:val="24"/>
        </w:rPr>
        <w:t xml:space="preserve">, griebtuvo pirštas apima bent vieną kiaurymę, kuri yra skirta užrakinimo kaiščiui ir kurioje užrakinimo kaištis gali judėti išilgai minėtos kiaurymės, </w:t>
      </w:r>
    </w:p>
    <w:p w14:paraId="5F2ED907" w14:textId="7777777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kur užrakinimo kaištis apima pailgą dalį, nuspaudimo jėgos perdavimo užrakinimo kaiščiui galvą, spyruoklinį elementą, kuris yra išdėstytas aplink užrakinimo kaiščio pailgą dalį, užfiksavimo galvutę, </w:t>
      </w:r>
    </w:p>
    <w:p w14:paraId="2348BDB5" w14:textId="7777777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kur </w:t>
      </w:r>
      <w:proofErr w:type="spellStart"/>
      <w:r w:rsidRPr="004C1764">
        <w:rPr>
          <w:rFonts w:ascii="Helvetica" w:hAnsi="Helvetica" w:cstheme="majorBidi"/>
          <w:sz w:val="20"/>
          <w:szCs w:val="24"/>
        </w:rPr>
        <w:t>žiaunelė</w:t>
      </w:r>
      <w:proofErr w:type="spellEnd"/>
      <w:r w:rsidRPr="004C1764">
        <w:rPr>
          <w:rFonts w:ascii="Helvetica" w:hAnsi="Helvetica" w:cstheme="majorBidi"/>
          <w:sz w:val="20"/>
          <w:szCs w:val="24"/>
        </w:rPr>
        <w:t xml:space="preserve"> apima ruošiniui ar gaminiui sugriebti skirtą dalį ir prie griebtuvo piršto pritvirtinti skirtą dalį </w:t>
      </w:r>
    </w:p>
    <w:p w14:paraId="38A28C44" w14:textId="48E737D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b e s i s k i r i a n t i  </w:t>
      </w:r>
      <w:r w:rsidRPr="004C1764">
        <w:rPr>
          <w:rFonts w:ascii="Helvetica" w:hAnsi="Helvetica" w:cstheme="majorBidi"/>
          <w:sz w:val="20"/>
          <w:szCs w:val="24"/>
        </w:rPr>
        <w:t>tuo, kad prie griebtuvo piršto (1) pritvirtinti skirta dalis (3.2) apima ertmę (3.2.1), kuri apima:</w:t>
      </w:r>
    </w:p>
    <w:p w14:paraId="4EEBD96E" w14:textId="7777777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griebtuvo piršto (1) judėjimui </w:t>
      </w:r>
      <w:proofErr w:type="spellStart"/>
      <w:r w:rsidRPr="004C1764">
        <w:rPr>
          <w:rFonts w:ascii="Helvetica" w:hAnsi="Helvetica" w:cstheme="majorBidi"/>
          <w:sz w:val="20"/>
          <w:szCs w:val="24"/>
        </w:rPr>
        <w:t>žiaunele</w:t>
      </w:r>
      <w:proofErr w:type="spellEnd"/>
      <w:r w:rsidRPr="004C1764">
        <w:rPr>
          <w:rFonts w:ascii="Helvetica" w:hAnsi="Helvetica" w:cstheme="majorBidi"/>
          <w:sz w:val="20"/>
          <w:szCs w:val="24"/>
        </w:rPr>
        <w:t xml:space="preserve"> (3) skirtą išėmą (3.2.2);</w:t>
      </w:r>
    </w:p>
    <w:p w14:paraId="49012ACD" w14:textId="77777777"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užfiksavimo galvutę (2.4) patalpinti ir nukreipti skirtą išėmą (3.2.3); </w:t>
      </w:r>
    </w:p>
    <w:p w14:paraId="744B80D4" w14:textId="5344D63D" w:rsidR="004C1764" w:rsidRPr="004C1764" w:rsidRDefault="004C1764" w:rsidP="004C1764">
      <w:pPr>
        <w:spacing w:after="0" w:line="360" w:lineRule="auto"/>
        <w:jc w:val="both"/>
        <w:rPr>
          <w:rFonts w:ascii="Helvetica" w:hAnsi="Helvetica" w:cstheme="majorBidi"/>
          <w:sz w:val="20"/>
          <w:szCs w:val="24"/>
        </w:rPr>
      </w:pPr>
      <w:r w:rsidRPr="004C1764">
        <w:rPr>
          <w:rFonts w:ascii="Helvetica" w:hAnsi="Helvetica" w:cstheme="majorBidi"/>
          <w:sz w:val="20"/>
          <w:szCs w:val="24"/>
        </w:rPr>
        <w:t xml:space="preserve">pertvarą (3.2.4) tarp užfiksavimo galvutei (2.4) patalpinti ir nukreipti skirtos išėmos (3.2.3) ir griebtuvo piršto (1) judėjimui </w:t>
      </w:r>
      <w:proofErr w:type="spellStart"/>
      <w:r w:rsidRPr="004C1764">
        <w:rPr>
          <w:rFonts w:ascii="Helvetica" w:hAnsi="Helvetica" w:cstheme="majorBidi"/>
          <w:sz w:val="20"/>
          <w:szCs w:val="24"/>
        </w:rPr>
        <w:t>žiaunele</w:t>
      </w:r>
      <w:proofErr w:type="spellEnd"/>
      <w:r w:rsidRPr="004C1764">
        <w:rPr>
          <w:rFonts w:ascii="Helvetica" w:hAnsi="Helvetica" w:cstheme="majorBidi"/>
          <w:sz w:val="20"/>
          <w:szCs w:val="24"/>
        </w:rPr>
        <w:t xml:space="preserve"> (3) skirtos išėmos (3.2.2), kur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(3) ertmės (3.2.1) pertvara (3.2.4) apima pirmą ertmę (3.2.5), skirtą užrakinimo kaiščio (2) pailgos dalies (2.2), besitęsiančios tarp griebtuvo piršto (1) ir užfiksavimo galvutės (2.4), judėjimui iki surakinimo padėties, ir antrą ertmę (3.2.7), skirtą įstatyti užfiksavimo galvutę (2.4),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(3) surakinimo su griebtuvo pirštu (1) užrakinimo kaiščio (2) padėtyje, kur įstačius, užfiksavimo galvutės (2.4) perimetro kraštų briaunos atsiremia į pertvaros (3.2.4) antros ertmės (3.2.7) krašto briauną (3.2.6).</w:t>
      </w:r>
    </w:p>
    <w:p w14:paraId="667DFFD1" w14:textId="77777777" w:rsidR="004C1764" w:rsidRPr="004C1764" w:rsidRDefault="004C1764" w:rsidP="004C1764">
      <w:pPr>
        <w:spacing w:after="0" w:line="360" w:lineRule="auto"/>
        <w:jc w:val="both"/>
        <w:rPr>
          <w:rFonts w:ascii="Helvetica" w:hAnsi="Helvetica" w:cstheme="majorBidi"/>
          <w:sz w:val="20"/>
          <w:szCs w:val="24"/>
        </w:rPr>
      </w:pPr>
    </w:p>
    <w:p w14:paraId="2AA0BB10" w14:textId="12DBB303" w:rsidR="004C1764" w:rsidRPr="004C1764" w:rsidRDefault="004C1764" w:rsidP="004C1764">
      <w:pPr>
        <w:spacing w:after="0" w:line="360" w:lineRule="auto"/>
        <w:ind w:firstLine="567"/>
        <w:jc w:val="both"/>
        <w:rPr>
          <w:rFonts w:ascii="Helvetica" w:hAnsi="Helvetica" w:cstheme="majorBidi"/>
          <w:sz w:val="20"/>
          <w:szCs w:val="24"/>
        </w:rPr>
      </w:pPr>
      <w:r w:rsidRPr="004C1764">
        <w:rPr>
          <w:rFonts w:ascii="Helvetica" w:hAnsi="Helvetica" w:cstheme="majorBidi"/>
          <w:sz w:val="20"/>
          <w:szCs w:val="24"/>
        </w:rPr>
        <w:t xml:space="preserve">2. Griebtuvo (TG) greito pakeitimo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sistema pagal 1 punktą, kur minėta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pertvara (3.2.4) apima priekinę dalį (3.2.4.1) ir užfiksavimo galvutės (2.4) kreipiančiąją dalį (3.2.3.3), kur priekinės dalies storis (h1) yra ne didesnis negu atstumas (h) tarp užfiksavimo galvutės (2.4) ir griebtuvo piršto (1) apatinio paviršiaus (1.6), o kreipiančioji dalis (3.2.3.3) tęsiasi nuo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(3) ertmės (3.2.1) pertvaros (3.2.4) pirmos ertmės (3.2.5) pradžios iki minėtos pertvaros (3.2.4) antros ertmės (3.2.7) pradžios.</w:t>
      </w:r>
    </w:p>
    <w:p w14:paraId="4C6291DA" w14:textId="77777777" w:rsidR="004C1764" w:rsidRPr="004C1764" w:rsidRDefault="004C1764" w:rsidP="004C1764">
      <w:pPr>
        <w:spacing w:after="0" w:line="360" w:lineRule="auto"/>
        <w:ind w:firstLine="567"/>
        <w:jc w:val="both"/>
        <w:rPr>
          <w:rFonts w:ascii="Helvetica" w:hAnsi="Helvetica" w:cstheme="majorBidi"/>
          <w:sz w:val="20"/>
          <w:szCs w:val="24"/>
        </w:rPr>
      </w:pPr>
    </w:p>
    <w:p w14:paraId="1E2045B8" w14:textId="2975D890" w:rsidR="0018473C" w:rsidRPr="004C1764" w:rsidRDefault="004C1764" w:rsidP="004C1764">
      <w:pPr>
        <w:spacing w:after="0" w:line="360" w:lineRule="auto"/>
        <w:ind w:firstLine="567"/>
        <w:jc w:val="both"/>
        <w:rPr>
          <w:rFonts w:ascii="Helvetica" w:hAnsi="Helvetica" w:cstheme="majorBidi"/>
          <w:sz w:val="20"/>
          <w:szCs w:val="24"/>
        </w:rPr>
      </w:pPr>
      <w:r w:rsidRPr="004C1764">
        <w:rPr>
          <w:rFonts w:ascii="Helvetica" w:hAnsi="Helvetica" w:cstheme="majorBidi"/>
          <w:sz w:val="20"/>
          <w:szCs w:val="24"/>
        </w:rPr>
        <w:t xml:space="preserve">3. Griebtuvo (TG) greito pakeitimo </w:t>
      </w:r>
      <w:proofErr w:type="spellStart"/>
      <w:r w:rsidRPr="004C1764">
        <w:rPr>
          <w:rFonts w:ascii="Helvetica" w:hAnsi="Helvetica" w:cstheme="majorBidi"/>
          <w:sz w:val="20"/>
          <w:szCs w:val="24"/>
        </w:rPr>
        <w:t>žiaunelės</w:t>
      </w:r>
      <w:proofErr w:type="spellEnd"/>
      <w:r w:rsidRPr="004C1764">
        <w:rPr>
          <w:rFonts w:ascii="Helvetica" w:hAnsi="Helvetica" w:cstheme="majorBidi"/>
          <w:sz w:val="20"/>
          <w:szCs w:val="24"/>
        </w:rPr>
        <w:t xml:space="preserve"> sistema pagal bet kurį ankstesnį punktą, kur griebtuvo piršto (1) judėjimui </w:t>
      </w:r>
      <w:proofErr w:type="spellStart"/>
      <w:r w:rsidRPr="004C1764">
        <w:rPr>
          <w:rFonts w:ascii="Helvetica" w:hAnsi="Helvetica" w:cstheme="majorBidi"/>
          <w:sz w:val="20"/>
          <w:szCs w:val="24"/>
        </w:rPr>
        <w:t>žiaunele</w:t>
      </w:r>
      <w:proofErr w:type="spellEnd"/>
      <w:r w:rsidRPr="004C1764">
        <w:rPr>
          <w:rFonts w:ascii="Helvetica" w:hAnsi="Helvetica" w:cstheme="majorBidi"/>
          <w:sz w:val="20"/>
          <w:szCs w:val="24"/>
        </w:rPr>
        <w:t xml:space="preserve"> (3) išėma (3.2.2)</w:t>
      </w:r>
      <w:r w:rsidRPr="004C1764">
        <w:rPr>
          <w:rFonts w:ascii="Helvetica" w:hAnsi="Helvetica" w:cstheme="majorBidi"/>
          <w:sz w:val="20"/>
          <w:szCs w:val="24"/>
        </w:rPr>
        <w:t xml:space="preserve"> </w:t>
      </w:r>
      <w:r w:rsidRPr="004C1764">
        <w:rPr>
          <w:rFonts w:ascii="Helvetica" w:hAnsi="Helvetica" w:cstheme="majorBidi"/>
          <w:sz w:val="20"/>
          <w:szCs w:val="24"/>
        </w:rPr>
        <w:t>apima šoninius kreipiančiuosius vidinius paviršius (3.2.2.2‘,3.2.2.2‘‘), viršutinius kreipiančiuosius vidinius paviršius (3.2.2.1‘,3.2.2.1‘‘), apatinius kreipiančiuosius vidinius paviršius (3.2.2.3‘,3.2.2.3‘‘) ir galinę sienelę (3.2.2.4).</w:t>
      </w:r>
    </w:p>
    <w:sectPr w:rsidR="0018473C" w:rsidRPr="004C1764" w:rsidSect="004C176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9776" w14:textId="77777777" w:rsidR="004C1764" w:rsidRDefault="004C1764" w:rsidP="004C1764">
      <w:pPr>
        <w:spacing w:after="0" w:line="240" w:lineRule="auto"/>
      </w:pPr>
      <w:r>
        <w:separator/>
      </w:r>
    </w:p>
  </w:endnote>
  <w:endnote w:type="continuationSeparator" w:id="0">
    <w:p w14:paraId="23E00AC8" w14:textId="77777777" w:rsidR="004C1764" w:rsidRDefault="004C1764" w:rsidP="004C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A43C" w14:textId="77777777" w:rsidR="004C1764" w:rsidRDefault="004C1764" w:rsidP="004C1764">
      <w:pPr>
        <w:spacing w:after="0" w:line="240" w:lineRule="auto"/>
      </w:pPr>
      <w:r>
        <w:separator/>
      </w:r>
    </w:p>
  </w:footnote>
  <w:footnote w:type="continuationSeparator" w:id="0">
    <w:p w14:paraId="200147A1" w14:textId="77777777" w:rsidR="004C1764" w:rsidRDefault="004C1764" w:rsidP="004C1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6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C1764"/>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7422"/>
  <w15:chartTrackingRefBased/>
  <w15:docId w15:val="{E13AB6D5-F095-449D-950B-12C9F30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7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1764"/>
  </w:style>
  <w:style w:type="paragraph" w:styleId="Footer">
    <w:name w:val="footer"/>
    <w:basedOn w:val="Normal"/>
    <w:link w:val="FooterChar"/>
    <w:uiPriority w:val="99"/>
    <w:unhideWhenUsed/>
    <w:rsid w:val="004C17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1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2242</Characters>
  <Application>Microsoft Office Word</Application>
  <DocSecurity>0</DocSecurity>
  <Lines>31</Lines>
  <Paragraphs>12</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2023-07-10T13:50:00Z</dcterms:created>
  <dcterms:modified xsi:type="dcterms:W3CDTF">2023-07-10T13:53:00Z</dcterms:modified>
</cp:coreProperties>
</file>