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7054" w14:textId="64110662" w:rsidR="009C0DF1" w:rsidRP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>1. Aliejinė kompozicija, skirta kasdienei virusinės ligos, patenkančios per išorinius kvėpavimo takus, prevencijai, apimanti daugiau nei vieną augalinį komponentą,</w:t>
      </w: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  b e s i s k i r i a n t i  </w:t>
      </w: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tuo, kad apima </w:t>
      </w:r>
      <w:r w:rsidRPr="009C0DF1">
        <w:rPr>
          <w:rFonts w:ascii="Helvetica" w:eastAsia="Calibri" w:hAnsi="Helvetica" w:cs="Helvetica"/>
          <w:iCs/>
          <w:kern w:val="0"/>
          <w:szCs w:val="22"/>
          <w14:ligatures w14:val="none"/>
        </w:rPr>
        <w:t>68-99 %</w:t>
      </w:r>
      <w:r w:rsidRPr="009C0DF1">
        <w:rPr>
          <w:rFonts w:ascii="Helvetica" w:hAnsi="Helvetica" w:cs="Helvetica"/>
          <w:kern w:val="0"/>
          <w:szCs w:val="22"/>
          <w:lang w:eastAsia="lt-LT"/>
          <w14:ligatures w14:val="none"/>
        </w:rPr>
        <w:t xml:space="preserve">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Nigella</w:t>
      </w:r>
      <w:proofErr w:type="spellEnd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 xml:space="preserve">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sativa</w:t>
      </w:r>
      <w:proofErr w:type="spellEnd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 sėklų aliejaus, </w:t>
      </w:r>
      <w:r w:rsidRPr="009C0DF1">
        <w:rPr>
          <w:rFonts w:ascii="Helvetica" w:eastAsia="Calibri" w:hAnsi="Helvetica" w:cs="Helvetica"/>
          <w:iCs/>
          <w:kern w:val="0"/>
          <w:szCs w:val="22"/>
          <w14:ligatures w14:val="none"/>
        </w:rPr>
        <w:t xml:space="preserve">0,1-5,0 %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Melaleuca</w:t>
      </w:r>
      <w:proofErr w:type="spellEnd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 xml:space="preserve">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alternifolia</w:t>
      </w:r>
      <w:proofErr w:type="spellEnd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 lapų eterinio aliejaus, </w:t>
      </w:r>
      <w:r w:rsidRPr="009C0DF1">
        <w:rPr>
          <w:rFonts w:ascii="Helvetica" w:eastAsia="Calibri" w:hAnsi="Helvetica" w:cs="Helvetica"/>
          <w:iCs/>
          <w:kern w:val="0"/>
          <w:szCs w:val="22"/>
          <w14:ligatures w14:val="none"/>
        </w:rPr>
        <w:t xml:space="preserve">0,5-5,0 %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Thymus</w:t>
      </w:r>
      <w:proofErr w:type="spellEnd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 xml:space="preserve">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vulgaris</w:t>
      </w:r>
      <w:proofErr w:type="spellEnd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 lapų/žiedų eterinio aliejaus, </w:t>
      </w:r>
      <w:r w:rsidRPr="009C0DF1">
        <w:rPr>
          <w:rFonts w:ascii="Helvetica" w:eastAsia="Calibri" w:hAnsi="Helvetica" w:cs="Helvetica"/>
          <w:iCs/>
          <w:kern w:val="0"/>
          <w:szCs w:val="22"/>
          <w14:ligatures w14:val="none"/>
        </w:rPr>
        <w:t xml:space="preserve">0,1-5,0 % </w:t>
      </w:r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 xml:space="preserve">Laurus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nobilis</w:t>
      </w:r>
      <w:proofErr w:type="spellEnd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 eterinio aliejaus, </w:t>
      </w:r>
      <w:r w:rsidRPr="009C0DF1">
        <w:rPr>
          <w:rFonts w:ascii="Helvetica" w:eastAsia="Calibri" w:hAnsi="Helvetica" w:cs="Helvetica"/>
          <w:iCs/>
          <w:kern w:val="0"/>
          <w:szCs w:val="22"/>
          <w14:ligatures w14:val="none"/>
        </w:rPr>
        <w:t xml:space="preserve">0,4-10,0 % </w:t>
      </w: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vitamino E tirpinto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Helianthus</w:t>
      </w:r>
      <w:proofErr w:type="spellEnd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 xml:space="preserve">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annuus</w:t>
      </w:r>
      <w:proofErr w:type="spellEnd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 sėklų aliejuje ir </w:t>
      </w:r>
      <w:r w:rsidRPr="009C0DF1">
        <w:rPr>
          <w:rFonts w:ascii="Helvetica" w:eastAsia="Calibri" w:hAnsi="Helvetica" w:cs="Helvetica"/>
          <w:iCs/>
          <w:kern w:val="0"/>
          <w:szCs w:val="22"/>
          <w14:ligatures w14:val="none"/>
        </w:rPr>
        <w:t xml:space="preserve">0,1-7,0 %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Silybum</w:t>
      </w:r>
      <w:proofErr w:type="spellEnd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 xml:space="preserve"> </w:t>
      </w:r>
      <w:proofErr w:type="spellStart"/>
      <w:r w:rsidRPr="009C0DF1">
        <w:rPr>
          <w:rFonts w:ascii="Helvetica" w:eastAsia="Calibri" w:hAnsi="Helvetica" w:cs="Helvetica"/>
          <w:i/>
          <w:kern w:val="0"/>
          <w:szCs w:val="22"/>
          <w14:ligatures w14:val="none"/>
        </w:rPr>
        <w:t>marianum</w:t>
      </w:r>
      <w:proofErr w:type="spellEnd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 </w:t>
      </w:r>
      <w:proofErr w:type="spellStart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>fitosomų</w:t>
      </w:r>
      <w:proofErr w:type="spellEnd"/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>.</w:t>
      </w:r>
    </w:p>
    <w:p w14:paraId="1662DD85" w14:textId="77777777" w:rsidR="009C0DF1" w:rsidRP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</w:p>
    <w:p w14:paraId="0916B631" w14:textId="77777777" w:rsid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>2. Aliejinė kompozicija pagal 1 punktą, kur virusinė infekcija yra SARS-CoV-2 sukeliama infekcija.</w:t>
      </w:r>
    </w:p>
    <w:p w14:paraId="1AA4CC72" w14:textId="77777777" w:rsid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</w:p>
    <w:p w14:paraId="21CF2052" w14:textId="47581EDD" w:rsidR="009C0DF1" w:rsidRP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>3. Aliejinė kompozicija pagal 1 punktą, kur kompozicija vartojama purškiant į nosį.</w:t>
      </w:r>
    </w:p>
    <w:p w14:paraId="440D0464" w14:textId="77777777" w:rsidR="009C0DF1" w:rsidRPr="009C0DF1" w:rsidRDefault="009C0DF1" w:rsidP="009C0DF1">
      <w:pPr>
        <w:spacing w:line="360" w:lineRule="auto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</w:p>
    <w:p w14:paraId="32F4A260" w14:textId="77777777" w:rsid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>4. Aliejinė kompozicija pagal 1 punktą, kur kompozicija vartojama purškiant į burną.</w:t>
      </w:r>
    </w:p>
    <w:p w14:paraId="76976AB5" w14:textId="77777777" w:rsid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</w:p>
    <w:p w14:paraId="00889967" w14:textId="6E05FBBD" w:rsidR="009C0DF1" w:rsidRP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>5. Aliejinė kompozicija pagal 1-4 punktus, kur kompozicija vartojama kas 2-3 valandas.</w:t>
      </w:r>
    </w:p>
    <w:p w14:paraId="1976E3F2" w14:textId="77777777" w:rsidR="009C0DF1" w:rsidRPr="009C0DF1" w:rsidRDefault="009C0DF1" w:rsidP="009C0DF1">
      <w:pPr>
        <w:spacing w:line="360" w:lineRule="auto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</w:p>
    <w:p w14:paraId="1371BA12" w14:textId="77777777" w:rsidR="009C0DF1" w:rsidRPr="009C0DF1" w:rsidRDefault="009C0DF1" w:rsidP="009C0DF1">
      <w:pPr>
        <w:spacing w:line="360" w:lineRule="auto"/>
        <w:ind w:firstLine="567"/>
        <w:jc w:val="both"/>
        <w:rPr>
          <w:rFonts w:ascii="Helvetica" w:eastAsia="Calibri" w:hAnsi="Helvetica" w:cs="Helvetica"/>
          <w:kern w:val="0"/>
          <w:szCs w:val="22"/>
          <w14:ligatures w14:val="none"/>
        </w:rPr>
      </w:pPr>
      <w:r w:rsidRPr="009C0DF1">
        <w:rPr>
          <w:rFonts w:ascii="Helvetica" w:eastAsia="Calibri" w:hAnsi="Helvetica" w:cs="Helvetica"/>
          <w:kern w:val="0"/>
          <w:szCs w:val="22"/>
          <w14:ligatures w14:val="none"/>
        </w:rPr>
        <w:t xml:space="preserve">6. Aliejinė kompozicija pagal 1-5 punktus, kur kompozicija vartojama ne daugiau kaip 5 kartus per parą. </w:t>
      </w:r>
    </w:p>
    <w:sectPr w:rsidR="009C0DF1" w:rsidRPr="009C0DF1" w:rsidSect="009C0DF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3E83" w14:textId="77777777" w:rsidR="009C0DF1" w:rsidRDefault="009C0DF1" w:rsidP="009C0DF1">
      <w:r>
        <w:separator/>
      </w:r>
    </w:p>
  </w:endnote>
  <w:endnote w:type="continuationSeparator" w:id="0">
    <w:p w14:paraId="0E4AF2B2" w14:textId="77777777" w:rsidR="009C0DF1" w:rsidRDefault="009C0DF1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10F2" w14:textId="77777777" w:rsidR="009C0DF1" w:rsidRDefault="009C0DF1" w:rsidP="009C0DF1">
      <w:r>
        <w:separator/>
      </w:r>
    </w:p>
  </w:footnote>
  <w:footnote w:type="continuationSeparator" w:id="0">
    <w:p w14:paraId="76BA6FA1" w14:textId="77777777" w:rsidR="009C0DF1" w:rsidRDefault="009C0DF1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0DF1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C0DF1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1866A"/>
  <w15:chartTrackingRefBased/>
  <w15:docId w15:val="{E0DECF2A-0338-43A2-AF90-30D2EB9C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0DF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0DF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C0DF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0D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831</Characters>
  <Application>Microsoft Office Word</Application>
  <DocSecurity>0</DocSecurity>
  <Lines>16</Lines>
  <Paragraphs>9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2023-05-22T12:28:00Z</dcterms:created>
  <dcterms:modified xsi:type="dcterms:W3CDTF">2023-05-22T12:30:00Z</dcterms:modified>
</cp:coreProperties>
</file>