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DA000" w14:textId="3EF8BF9B" w:rsidR="00E1373E" w:rsidRPr="00E1373E" w:rsidRDefault="00E1373E" w:rsidP="00E1373E">
      <w:pPr>
        <w:pStyle w:val="Pagrindinistekstas"/>
        <w:widowControl/>
        <w:spacing w:line="360" w:lineRule="auto"/>
        <w:rPr>
          <w:rFonts w:ascii="Helvetica" w:hAnsi="Helvetica" w:cs="Helvetica"/>
          <w:i/>
          <w:sz w:val="20"/>
          <w:szCs w:val="20"/>
        </w:rPr>
      </w:pPr>
      <w:proofErr w:type="spellStart"/>
      <w:r w:rsidRPr="00E1373E">
        <w:rPr>
          <w:rFonts w:ascii="Helvetica" w:hAnsi="Helvetica" w:cs="Helvetica"/>
          <w:sz w:val="20"/>
          <w:szCs w:val="20"/>
        </w:rPr>
        <w:t>Method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of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target-product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synthesis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maximization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in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semi-</w:t>
      </w:r>
      <w:proofErr w:type="spellStart"/>
      <w:r w:rsidRPr="00E1373E">
        <w:rPr>
          <w:rFonts w:ascii="Helvetica" w:hAnsi="Helvetica" w:cs="Helvetica"/>
          <w:sz w:val="20"/>
          <w:szCs w:val="20"/>
        </w:rPr>
        <w:t>batch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cultivation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processes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of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recombinant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i/>
          <w:sz w:val="20"/>
          <w:szCs w:val="20"/>
        </w:rPr>
        <w:t>E.coli</w:t>
      </w:r>
      <w:proofErr w:type="spellEnd"/>
    </w:p>
    <w:p w14:paraId="452A453F" w14:textId="110DACF2" w:rsidR="00E1373E" w:rsidRPr="00E1373E" w:rsidRDefault="00E1373E" w:rsidP="00E1373E">
      <w:pPr>
        <w:pStyle w:val="Pagrindinistekstas"/>
        <w:widowControl/>
        <w:tabs>
          <w:tab w:val="left" w:pos="1189"/>
        </w:tabs>
        <w:spacing w:line="360" w:lineRule="auto"/>
        <w:rPr>
          <w:rFonts w:ascii="Helvetica" w:hAnsi="Helvetica" w:cs="Helvetica"/>
          <w:sz w:val="20"/>
          <w:szCs w:val="20"/>
        </w:rPr>
      </w:pPr>
      <w:proofErr w:type="spellStart"/>
      <w:r w:rsidRPr="00E1373E">
        <w:rPr>
          <w:rFonts w:ascii="Helvetica" w:hAnsi="Helvetica" w:cs="Helvetica"/>
          <w:sz w:val="20"/>
          <w:szCs w:val="20"/>
        </w:rPr>
        <w:t>The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invention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discloses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a </w:t>
      </w:r>
      <w:proofErr w:type="spellStart"/>
      <w:r w:rsidRPr="00E1373E">
        <w:rPr>
          <w:rFonts w:ascii="Helvetica" w:hAnsi="Helvetica" w:cs="Helvetica"/>
          <w:sz w:val="20"/>
          <w:szCs w:val="20"/>
        </w:rPr>
        <w:t>method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to </w:t>
      </w:r>
      <w:proofErr w:type="spellStart"/>
      <w:r w:rsidRPr="00E1373E">
        <w:rPr>
          <w:rFonts w:ascii="Helvetica" w:hAnsi="Helvetica" w:cs="Helvetica"/>
          <w:sz w:val="20"/>
          <w:szCs w:val="20"/>
        </w:rPr>
        <w:t>maximize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the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synthesis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and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concentration</w:t>
      </w:r>
      <w:proofErr w:type="spellEnd"/>
      <w:r w:rsidRPr="00E1373E">
        <w:rPr>
          <w:rFonts w:ascii="Helvetica" w:hAnsi="Helvetica" w:cs="Helvetica"/>
          <w:spacing w:val="40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of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a </w:t>
      </w:r>
      <w:proofErr w:type="spellStart"/>
      <w:r w:rsidRPr="00E1373E">
        <w:rPr>
          <w:rFonts w:ascii="Helvetica" w:hAnsi="Helvetica" w:cs="Helvetica"/>
          <w:sz w:val="20"/>
          <w:szCs w:val="20"/>
        </w:rPr>
        <w:t>target-product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in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semi-</w:t>
      </w:r>
      <w:proofErr w:type="spellStart"/>
      <w:r w:rsidRPr="00E1373E">
        <w:rPr>
          <w:rFonts w:ascii="Helvetica" w:hAnsi="Helvetica" w:cs="Helvetica"/>
          <w:sz w:val="20"/>
          <w:szCs w:val="20"/>
        </w:rPr>
        <w:t>periodic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cultivation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processes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of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recombinant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i/>
          <w:sz w:val="20"/>
          <w:szCs w:val="20"/>
        </w:rPr>
        <w:t>E.coli</w:t>
      </w:r>
      <w:proofErr w:type="spellEnd"/>
      <w:r w:rsidRPr="00E1373E">
        <w:rPr>
          <w:rFonts w:ascii="Helvetica" w:hAnsi="Helvetica" w:cs="Helvetica"/>
          <w:i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by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controlling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the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process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in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the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post-induction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period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according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to </w:t>
      </w:r>
      <w:proofErr w:type="spellStart"/>
      <w:r w:rsidRPr="00E1373E">
        <w:rPr>
          <w:rFonts w:ascii="Helvetica" w:hAnsi="Helvetica" w:cs="Helvetica"/>
          <w:sz w:val="20"/>
          <w:szCs w:val="20"/>
        </w:rPr>
        <w:t>an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optimized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specific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bacterial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growth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-rate </w:t>
      </w:r>
      <w:proofErr w:type="spellStart"/>
      <w:r w:rsidRPr="00E1373E">
        <w:rPr>
          <w:rFonts w:ascii="Helvetica" w:hAnsi="Helvetica" w:cs="Helvetica"/>
          <w:sz w:val="20"/>
          <w:szCs w:val="20"/>
        </w:rPr>
        <w:t>profile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. </w:t>
      </w:r>
      <w:proofErr w:type="spellStart"/>
      <w:r w:rsidRPr="00E1373E">
        <w:rPr>
          <w:rFonts w:ascii="Helvetica" w:hAnsi="Helvetica" w:cs="Helvetica"/>
          <w:sz w:val="20"/>
          <w:szCs w:val="20"/>
        </w:rPr>
        <w:t>This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method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is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based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on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experimental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studies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of</w:t>
      </w:r>
      <w:proofErr w:type="spellEnd"/>
      <w:r w:rsidRPr="00E1373E">
        <w:rPr>
          <w:rFonts w:ascii="Helvetica" w:hAnsi="Helvetica" w:cs="Helvetica"/>
          <w:spacing w:val="8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the</w:t>
      </w:r>
      <w:proofErr w:type="spellEnd"/>
      <w:r w:rsidRPr="00E1373E">
        <w:rPr>
          <w:rFonts w:ascii="Helvetica" w:hAnsi="Helvetica" w:cs="Helvetica"/>
          <w:spacing w:val="3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cultivation</w:t>
      </w:r>
      <w:proofErr w:type="spellEnd"/>
      <w:r w:rsidRPr="00E1373E">
        <w:rPr>
          <w:rFonts w:ascii="Helvetica" w:hAnsi="Helvetica" w:cs="Helvetica"/>
          <w:spacing w:val="6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of</w:t>
      </w:r>
      <w:proofErr w:type="spellEnd"/>
      <w:r w:rsidRPr="00E1373E">
        <w:rPr>
          <w:rFonts w:ascii="Helvetica" w:hAnsi="Helvetica" w:cs="Helvetica"/>
          <w:spacing w:val="6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i/>
          <w:sz w:val="20"/>
          <w:szCs w:val="20"/>
        </w:rPr>
        <w:t>E.coli</w:t>
      </w:r>
      <w:proofErr w:type="spellEnd"/>
      <w:r w:rsidRPr="00E1373E">
        <w:rPr>
          <w:rFonts w:ascii="Helvetica" w:hAnsi="Helvetica" w:cs="Helvetica"/>
          <w:i/>
          <w:spacing w:val="4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bacteria</w:t>
      </w:r>
      <w:proofErr w:type="spellEnd"/>
      <w:r w:rsidRPr="00E1373E">
        <w:rPr>
          <w:rFonts w:ascii="Helvetica" w:hAnsi="Helvetica" w:cs="Helvetica"/>
          <w:sz w:val="20"/>
          <w:szCs w:val="20"/>
        </w:rPr>
        <w:t>,</w:t>
      </w:r>
      <w:r w:rsidRPr="00E1373E">
        <w:rPr>
          <w:rFonts w:ascii="Helvetica" w:hAnsi="Helvetica" w:cs="Helvetica"/>
          <w:spacing w:val="8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which</w:t>
      </w:r>
      <w:proofErr w:type="spellEnd"/>
      <w:r w:rsidRPr="00E1373E">
        <w:rPr>
          <w:rFonts w:ascii="Helvetica" w:hAnsi="Helvetica" w:cs="Helvetica"/>
          <w:spacing w:val="3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found</w:t>
      </w:r>
      <w:proofErr w:type="spellEnd"/>
      <w:r w:rsidRPr="00E1373E">
        <w:rPr>
          <w:rFonts w:ascii="Helvetica" w:hAnsi="Helvetica" w:cs="Helvetica"/>
          <w:spacing w:val="6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that</w:t>
      </w:r>
      <w:proofErr w:type="spellEnd"/>
      <w:r w:rsidRPr="00E1373E">
        <w:rPr>
          <w:rFonts w:ascii="Helvetica" w:hAnsi="Helvetica" w:cs="Helvetica"/>
          <w:spacing w:val="6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the</w:t>
      </w:r>
      <w:proofErr w:type="spellEnd"/>
      <w:r w:rsidRPr="00E1373E">
        <w:rPr>
          <w:rFonts w:ascii="Helvetica" w:hAnsi="Helvetica" w:cs="Helvetica"/>
          <w:spacing w:val="2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maximum</w:t>
      </w:r>
      <w:proofErr w:type="spellEnd"/>
      <w:r w:rsidRPr="00E1373E">
        <w:rPr>
          <w:rFonts w:ascii="Helvetica" w:hAnsi="Helvetica" w:cs="Helvetica"/>
          <w:spacing w:val="9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concentration</w:t>
      </w:r>
      <w:proofErr w:type="spellEnd"/>
      <w:r w:rsidRPr="00E1373E">
        <w:rPr>
          <w:rFonts w:ascii="Helvetica" w:hAnsi="Helvetica" w:cs="Helvetica"/>
          <w:spacing w:val="2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pacing w:val="-5"/>
          <w:sz w:val="20"/>
          <w:szCs w:val="20"/>
        </w:rPr>
        <w:t>of</w:t>
      </w:r>
      <w:proofErr w:type="spellEnd"/>
      <w:r>
        <w:rPr>
          <w:rFonts w:ascii="Helvetica" w:hAnsi="Helvetica" w:cs="Helvetica"/>
          <w:spacing w:val="-5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the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synthesized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target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product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at </w:t>
      </w:r>
      <w:proofErr w:type="spellStart"/>
      <w:r w:rsidRPr="00E1373E">
        <w:rPr>
          <w:rFonts w:ascii="Helvetica" w:hAnsi="Helvetica" w:cs="Helvetica"/>
          <w:sz w:val="20"/>
          <w:szCs w:val="20"/>
        </w:rPr>
        <w:t>the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end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of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cultivation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is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determined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by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the</w:t>
      </w:r>
      <w:proofErr w:type="spellEnd"/>
      <w:r w:rsidRPr="00E1373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concentration</w:t>
      </w:r>
      <w:proofErr w:type="spellEnd"/>
      <w:r w:rsidRPr="00E1373E">
        <w:rPr>
          <w:rFonts w:ascii="Helvetica" w:hAnsi="Helvetica" w:cs="Helvetica"/>
          <w:spacing w:val="21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of</w:t>
      </w:r>
      <w:proofErr w:type="spellEnd"/>
      <w:r w:rsidRPr="00E1373E">
        <w:rPr>
          <w:rFonts w:ascii="Helvetica" w:hAnsi="Helvetica" w:cs="Helvetica"/>
          <w:spacing w:val="24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i/>
          <w:sz w:val="20"/>
          <w:szCs w:val="20"/>
        </w:rPr>
        <w:t>E.coli</w:t>
      </w:r>
      <w:proofErr w:type="spellEnd"/>
      <w:r w:rsidRPr="00E1373E">
        <w:rPr>
          <w:rFonts w:ascii="Helvetica" w:hAnsi="Helvetica" w:cs="Helvetica"/>
          <w:i/>
          <w:spacing w:val="22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biomass</w:t>
      </w:r>
      <w:proofErr w:type="spellEnd"/>
      <w:r w:rsidRPr="00E1373E">
        <w:rPr>
          <w:rFonts w:ascii="Helvetica" w:hAnsi="Helvetica" w:cs="Helvetica"/>
          <w:sz w:val="20"/>
          <w:szCs w:val="20"/>
        </w:rPr>
        <w:t>,</w:t>
      </w:r>
      <w:r w:rsidRPr="00E1373E">
        <w:rPr>
          <w:rFonts w:ascii="Helvetica" w:hAnsi="Helvetica" w:cs="Helvetica"/>
          <w:spacing w:val="22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the</w:t>
      </w:r>
      <w:proofErr w:type="spellEnd"/>
      <w:r w:rsidRPr="00E1373E">
        <w:rPr>
          <w:rFonts w:ascii="Helvetica" w:hAnsi="Helvetica" w:cs="Helvetica"/>
          <w:spacing w:val="21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average</w:t>
      </w:r>
      <w:proofErr w:type="spellEnd"/>
      <w:r w:rsidRPr="00E1373E">
        <w:rPr>
          <w:rFonts w:ascii="Helvetica" w:hAnsi="Helvetica" w:cs="Helvetica"/>
          <w:spacing w:val="25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age</w:t>
      </w:r>
      <w:proofErr w:type="spellEnd"/>
      <w:r w:rsidRPr="00E1373E">
        <w:rPr>
          <w:rFonts w:ascii="Helvetica" w:hAnsi="Helvetica" w:cs="Helvetica"/>
          <w:spacing w:val="21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of</w:t>
      </w:r>
      <w:proofErr w:type="spellEnd"/>
      <w:r w:rsidRPr="00E1373E">
        <w:rPr>
          <w:rFonts w:ascii="Helvetica" w:hAnsi="Helvetica" w:cs="Helvetica"/>
          <w:spacing w:val="24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the</w:t>
      </w:r>
      <w:proofErr w:type="spellEnd"/>
      <w:r w:rsidRPr="00E1373E">
        <w:rPr>
          <w:rFonts w:ascii="Helvetica" w:hAnsi="Helvetica" w:cs="Helvetica"/>
          <w:spacing w:val="25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population</w:t>
      </w:r>
      <w:proofErr w:type="spellEnd"/>
      <w:r w:rsidRPr="00E1373E">
        <w:rPr>
          <w:rFonts w:ascii="Helvetica" w:hAnsi="Helvetica" w:cs="Helvetica"/>
          <w:spacing w:val="24"/>
          <w:sz w:val="20"/>
          <w:szCs w:val="20"/>
        </w:rPr>
        <w:t xml:space="preserve"> </w:t>
      </w:r>
      <w:r w:rsidRPr="00E1373E">
        <w:rPr>
          <w:rFonts w:ascii="Helvetica" w:hAnsi="Helvetica" w:cs="Helvetica"/>
          <w:sz w:val="20"/>
          <w:szCs w:val="20"/>
        </w:rPr>
        <w:t>at</w:t>
      </w:r>
      <w:r w:rsidRPr="00E1373E">
        <w:rPr>
          <w:rFonts w:ascii="Helvetica" w:hAnsi="Helvetica" w:cs="Helvetica"/>
          <w:spacing w:val="22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the</w:t>
      </w:r>
      <w:proofErr w:type="spellEnd"/>
      <w:r w:rsidRPr="00E1373E">
        <w:rPr>
          <w:rFonts w:ascii="Helvetica" w:hAnsi="Helvetica" w:cs="Helvetica"/>
          <w:spacing w:val="21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</w:rPr>
        <w:t>time</w:t>
      </w:r>
      <w:proofErr w:type="spellEnd"/>
      <w:r w:rsidRPr="00E1373E">
        <w:rPr>
          <w:rFonts w:ascii="Helvetica" w:hAnsi="Helvetica" w:cs="Helvetica"/>
          <w:spacing w:val="22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pacing w:val="-5"/>
          <w:sz w:val="20"/>
          <w:szCs w:val="20"/>
        </w:rPr>
        <w:t>of</w:t>
      </w:r>
      <w:proofErr w:type="spellEnd"/>
      <w:r w:rsidRPr="00E1373E">
        <w:rPr>
          <w:rFonts w:ascii="Helvetica" w:hAnsi="Helvetica" w:cs="Helvetica"/>
          <w:spacing w:val="-5"/>
          <w:sz w:val="20"/>
          <w:szCs w:val="20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process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induction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,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and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the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optimal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control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of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the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bacterial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specific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growth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rate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after</w:t>
      </w:r>
      <w:proofErr w:type="spellEnd"/>
      <w:r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the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induction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moment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.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Biomass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concentration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and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population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mean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age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are</w:t>
      </w:r>
      <w:r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derived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from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indirect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measurement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methods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in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real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time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.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During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induction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,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an</w:t>
      </w:r>
      <w:proofErr w:type="spellEnd"/>
      <w:r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empirical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expression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determines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the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maximum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possible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concentration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of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the</w:t>
      </w:r>
      <w:proofErr w:type="spellEnd"/>
      <w:r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target-product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at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the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end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of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the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process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.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An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accumulation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profile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5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of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the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targetproduct</w:t>
      </w:r>
      <w:proofErr w:type="spellEnd"/>
      <w:r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is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then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created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,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in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the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formation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of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which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the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average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age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of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the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bacterial</w:t>
      </w:r>
      <w:proofErr w:type="spellEnd"/>
      <w:r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population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,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which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depends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on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the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bacterial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specific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growth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-rate,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is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a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key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factor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>.</w:t>
      </w:r>
      <w:r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Based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on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real-time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optimization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procedures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,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an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optimal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specific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growth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-rate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profile</w:t>
      </w:r>
      <w:proofErr w:type="spellEnd"/>
      <w:r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is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determined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for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the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post-induction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cultivation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period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that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maximizes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the</w:t>
      </w:r>
      <w:proofErr w:type="spellEnd"/>
    </w:p>
    <w:p w14:paraId="6DA446D9" w14:textId="041FF0F4" w:rsidR="00E1373E" w:rsidRPr="00E1373E" w:rsidRDefault="00E1373E" w:rsidP="00E1373E">
      <w:pPr>
        <w:pStyle w:val="Pagrindinistekstas"/>
        <w:widowControl/>
        <w:spacing w:line="360" w:lineRule="auto"/>
        <w:rPr>
          <w:rFonts w:ascii="Helvetica" w:hAnsi="Helvetica" w:cs="Helvetica"/>
          <w:sz w:val="20"/>
          <w:szCs w:val="20"/>
        </w:rPr>
      </w:pP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concentration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of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the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target-product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at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the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end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of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the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cultivation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 xml:space="preserve"> </w:t>
      </w:r>
      <w:proofErr w:type="spellStart"/>
      <w:r w:rsidRPr="00E1373E">
        <w:rPr>
          <w:rFonts w:ascii="Helvetica" w:hAnsi="Helvetica" w:cs="Helvetica"/>
          <w:sz w:val="20"/>
          <w:szCs w:val="20"/>
          <w:lang w:eastAsia="lt-LT"/>
        </w:rPr>
        <w:t>process</w:t>
      </w:r>
      <w:proofErr w:type="spellEnd"/>
      <w:r w:rsidRPr="00E1373E">
        <w:rPr>
          <w:rFonts w:ascii="Helvetica" w:hAnsi="Helvetica" w:cs="Helvetica"/>
          <w:sz w:val="20"/>
          <w:szCs w:val="20"/>
          <w:lang w:eastAsia="lt-LT"/>
        </w:rPr>
        <w:t>.</w:t>
      </w:r>
    </w:p>
    <w:p w14:paraId="34A3F7CE" w14:textId="77777777" w:rsidR="0018473C" w:rsidRPr="00E1373E" w:rsidRDefault="0018473C" w:rsidP="00E1373E">
      <w:pPr>
        <w:spacing w:line="360" w:lineRule="auto"/>
        <w:jc w:val="both"/>
        <w:rPr>
          <w:rFonts w:ascii="Helvetica" w:hAnsi="Helvetica" w:cs="Helvetica"/>
        </w:rPr>
      </w:pPr>
    </w:p>
    <w:sectPr w:rsidR="0018473C" w:rsidRPr="00E1373E" w:rsidSect="00E1373E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D65C9" w14:textId="77777777" w:rsidR="00E1373E" w:rsidRDefault="00E1373E" w:rsidP="00E1373E">
      <w:r>
        <w:separator/>
      </w:r>
    </w:p>
  </w:endnote>
  <w:endnote w:type="continuationSeparator" w:id="0">
    <w:p w14:paraId="205D9896" w14:textId="77777777" w:rsidR="00E1373E" w:rsidRDefault="00E1373E" w:rsidP="00E1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A220A" w14:textId="77777777" w:rsidR="00E1373E" w:rsidRDefault="00E1373E" w:rsidP="00E1373E">
      <w:r>
        <w:separator/>
      </w:r>
    </w:p>
  </w:footnote>
  <w:footnote w:type="continuationSeparator" w:id="0">
    <w:p w14:paraId="3E486822" w14:textId="77777777" w:rsidR="00E1373E" w:rsidRDefault="00E1373E" w:rsidP="00E13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E2C68"/>
    <w:multiLevelType w:val="hybridMultilevel"/>
    <w:tmpl w:val="C270E8B8"/>
    <w:lvl w:ilvl="0" w:tplc="6C6E46F0">
      <w:start w:val="13"/>
      <w:numFmt w:val="decimal"/>
      <w:lvlText w:val="%1."/>
      <w:lvlJc w:val="left"/>
      <w:pPr>
        <w:ind w:left="923" w:hanging="404"/>
        <w:jc w:val="left"/>
      </w:pPr>
      <w:rPr>
        <w:rFonts w:hint="default"/>
        <w:spacing w:val="-1"/>
        <w:w w:val="102"/>
        <w:lang w:val="lt-LT" w:eastAsia="en-US" w:bidi="ar-SA"/>
      </w:rPr>
    </w:lvl>
    <w:lvl w:ilvl="1" w:tplc="DBC22384">
      <w:numFmt w:val="bullet"/>
      <w:lvlText w:val="•"/>
      <w:lvlJc w:val="left"/>
      <w:pPr>
        <w:ind w:left="1820" w:hanging="404"/>
      </w:pPr>
      <w:rPr>
        <w:rFonts w:hint="default"/>
        <w:lang w:val="lt-LT" w:eastAsia="en-US" w:bidi="ar-SA"/>
      </w:rPr>
    </w:lvl>
    <w:lvl w:ilvl="2" w:tplc="D12412CA">
      <w:numFmt w:val="bullet"/>
      <w:lvlText w:val="•"/>
      <w:lvlJc w:val="left"/>
      <w:pPr>
        <w:ind w:left="2720" w:hanging="404"/>
      </w:pPr>
      <w:rPr>
        <w:rFonts w:hint="default"/>
        <w:lang w:val="lt-LT" w:eastAsia="en-US" w:bidi="ar-SA"/>
      </w:rPr>
    </w:lvl>
    <w:lvl w:ilvl="3" w:tplc="2F08B144">
      <w:numFmt w:val="bullet"/>
      <w:lvlText w:val="•"/>
      <w:lvlJc w:val="left"/>
      <w:pPr>
        <w:ind w:left="3620" w:hanging="404"/>
      </w:pPr>
      <w:rPr>
        <w:rFonts w:hint="default"/>
        <w:lang w:val="lt-LT" w:eastAsia="en-US" w:bidi="ar-SA"/>
      </w:rPr>
    </w:lvl>
    <w:lvl w:ilvl="4" w:tplc="1932F70E">
      <w:numFmt w:val="bullet"/>
      <w:lvlText w:val="•"/>
      <w:lvlJc w:val="left"/>
      <w:pPr>
        <w:ind w:left="4520" w:hanging="404"/>
      </w:pPr>
      <w:rPr>
        <w:rFonts w:hint="default"/>
        <w:lang w:val="lt-LT" w:eastAsia="en-US" w:bidi="ar-SA"/>
      </w:rPr>
    </w:lvl>
    <w:lvl w:ilvl="5" w:tplc="5FC45228">
      <w:numFmt w:val="bullet"/>
      <w:lvlText w:val="•"/>
      <w:lvlJc w:val="left"/>
      <w:pPr>
        <w:ind w:left="5420" w:hanging="404"/>
      </w:pPr>
      <w:rPr>
        <w:rFonts w:hint="default"/>
        <w:lang w:val="lt-LT" w:eastAsia="en-US" w:bidi="ar-SA"/>
      </w:rPr>
    </w:lvl>
    <w:lvl w:ilvl="6" w:tplc="4C0A81C6">
      <w:numFmt w:val="bullet"/>
      <w:lvlText w:val="•"/>
      <w:lvlJc w:val="left"/>
      <w:pPr>
        <w:ind w:left="6320" w:hanging="404"/>
      </w:pPr>
      <w:rPr>
        <w:rFonts w:hint="default"/>
        <w:lang w:val="lt-LT" w:eastAsia="en-US" w:bidi="ar-SA"/>
      </w:rPr>
    </w:lvl>
    <w:lvl w:ilvl="7" w:tplc="F838336A">
      <w:numFmt w:val="bullet"/>
      <w:lvlText w:val="•"/>
      <w:lvlJc w:val="left"/>
      <w:pPr>
        <w:ind w:left="7220" w:hanging="404"/>
      </w:pPr>
      <w:rPr>
        <w:rFonts w:hint="default"/>
        <w:lang w:val="lt-LT" w:eastAsia="en-US" w:bidi="ar-SA"/>
      </w:rPr>
    </w:lvl>
    <w:lvl w:ilvl="8" w:tplc="C9DEDA68">
      <w:numFmt w:val="bullet"/>
      <w:lvlText w:val="•"/>
      <w:lvlJc w:val="left"/>
      <w:pPr>
        <w:ind w:left="8120" w:hanging="404"/>
      </w:pPr>
      <w:rPr>
        <w:rFonts w:hint="default"/>
        <w:lang w:val="lt-LT" w:eastAsia="en-US" w:bidi="ar-SA"/>
      </w:rPr>
    </w:lvl>
  </w:abstractNum>
  <w:abstractNum w:abstractNumId="1" w15:restartNumberingAfterBreak="0">
    <w:nsid w:val="791572A2"/>
    <w:multiLevelType w:val="hybridMultilevel"/>
    <w:tmpl w:val="C270E8B8"/>
    <w:lvl w:ilvl="0" w:tplc="FFFFFFFF">
      <w:start w:val="13"/>
      <w:numFmt w:val="decimal"/>
      <w:lvlText w:val="%1."/>
      <w:lvlJc w:val="left"/>
      <w:pPr>
        <w:ind w:left="923" w:hanging="404"/>
        <w:jc w:val="left"/>
      </w:pPr>
      <w:rPr>
        <w:rFonts w:hint="default"/>
        <w:spacing w:val="-1"/>
        <w:w w:val="102"/>
        <w:lang w:val="lt-LT" w:eastAsia="en-US" w:bidi="ar-SA"/>
      </w:rPr>
    </w:lvl>
    <w:lvl w:ilvl="1" w:tplc="FFFFFFFF">
      <w:numFmt w:val="bullet"/>
      <w:lvlText w:val="•"/>
      <w:lvlJc w:val="left"/>
      <w:pPr>
        <w:ind w:left="1820" w:hanging="404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720" w:hanging="404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620" w:hanging="404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520" w:hanging="404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420" w:hanging="404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320" w:hanging="404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220" w:hanging="404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120" w:hanging="404"/>
      </w:pPr>
      <w:rPr>
        <w:rFonts w:hint="default"/>
        <w:lang w:val="lt-LT" w:eastAsia="en-US" w:bidi="ar-SA"/>
      </w:rPr>
    </w:lvl>
  </w:abstractNum>
  <w:num w:numId="1" w16cid:durableId="213736765">
    <w:abstractNumId w:val="0"/>
  </w:num>
  <w:num w:numId="2" w16cid:durableId="220598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1373E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1373E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B16A6"/>
  <w15:chartTrackingRefBased/>
  <w15:docId w15:val="{17237D14-63BA-42CE-AEDC-216AA6B0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sid w:val="00E1373E"/>
    <w:pPr>
      <w:widowControl w:val="0"/>
      <w:autoSpaceDE w:val="0"/>
      <w:autoSpaceDN w:val="0"/>
      <w:jc w:val="both"/>
    </w:pPr>
    <w:rPr>
      <w:rFonts w:ascii="Arial" w:eastAsia="Arial" w:hAnsi="Arial" w:cs="Arial"/>
      <w:sz w:val="22"/>
      <w:szCs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E1373E"/>
    <w:rPr>
      <w:rFonts w:ascii="Arial" w:eastAsia="Arial" w:hAnsi="Arial" w:cs="Arial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E1373E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1373E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1373E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1373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1258</Characters>
  <Application>Microsoft Office Word</Application>
  <DocSecurity>0</DocSecurity>
  <Lines>19</Lines>
  <Paragraphs>16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2023-10-30T11:26:00Z</dcterms:created>
  <dcterms:modified xsi:type="dcterms:W3CDTF">2023-10-30T11:31:00Z</dcterms:modified>
</cp:coreProperties>
</file>