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9F906"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 Nuskaidrintos ląstelių kultūros, apimančios rekombinantinį baltymą, gamybos būdas, kur būdas apima:</w:t>
      </w:r>
    </w:p>
    <w:p w14:paraId="21532895"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 xml:space="preserve">i) bioreaktoriaus inokuliavimą ląstele šeimininke tam, kad būtų pateikta ląstelių kultūra, kur minėta ląstelė šeimininkė yra </w:t>
      </w:r>
      <w:r w:rsidRPr="00F97E2B">
        <w:rPr>
          <w:rFonts w:ascii="Helvetica" w:hAnsi="Helvetica" w:cs="Arial"/>
          <w:i/>
          <w:sz w:val="20"/>
          <w:szCs w:val="24"/>
        </w:rPr>
        <w:t>Escherichia coli</w:t>
      </w:r>
      <w:r w:rsidRPr="00F97E2B">
        <w:rPr>
          <w:rFonts w:ascii="Helvetica" w:hAnsi="Helvetica" w:cs="Arial"/>
          <w:sz w:val="20"/>
          <w:szCs w:val="24"/>
        </w:rPr>
        <w:t>, transformuota raiškos sistema, apimančia:</w:t>
      </w:r>
    </w:p>
    <w:p w14:paraId="0E48A7F6"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a) nukleorūgštį, koduojančią rekombinantinį baltymą, funkcionaliai susietą su pirmuoju indukuojamu promotoriumi, kur baltymas yra neorganinė pirofosfatazė (IPP); ir</w:t>
      </w:r>
    </w:p>
    <w:p w14:paraId="146034F4"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b) nukleorūgštį, koduojančią T4 lizocimo baltymą rėmelyje su nukleorūgštimi, koduojančia PelB sekrecinį signalinį peptidą, funkcionaliai susietą su antruoju indukuojamu promotoriumi,</w:t>
      </w:r>
    </w:p>
    <w:p w14:paraId="49DC2B0A"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ii) fermentavimą ląstelių kultūros, esant tokioms sąlygoms, kurios:</w:t>
      </w:r>
    </w:p>
    <w:p w14:paraId="1E6BF387"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a) suteikia galimybę ekspresuoti rekombinantinį polipeptidą; ir</w:t>
      </w:r>
    </w:p>
    <w:p w14:paraId="2E6A542A"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b) suteikia galimybę ląstelę padaryti pralaidžią tam, kad susiformuotų sferoplastas, išskiriantis rekombinantinį polipeptidą,</w:t>
      </w:r>
    </w:p>
    <w:p w14:paraId="402BAC18"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iii) nuskaidrinimą fermentuotos ląstelių kultūros, apimančios išskiriamą rekombinantinį baltymą, kur minėtas nuskaidrinimas apima pirminį nuskaidrinimo etapą, panaudojant pirmąjį nuskaidrinimo filtrą, kurio porų dydis užtikrina mažiausiai apie 0,4 µm arba didesnes sulaikymo ribas, kur nuskaidrinimo pakopa neapima centrifugavimo.</w:t>
      </w:r>
    </w:p>
    <w:p w14:paraId="14669657" w14:textId="77777777" w:rsidR="00F97E2B" w:rsidRPr="00F97E2B" w:rsidRDefault="00F97E2B" w:rsidP="00F97E2B">
      <w:pPr>
        <w:spacing w:after="0" w:line="360" w:lineRule="auto"/>
        <w:jc w:val="both"/>
        <w:rPr>
          <w:rFonts w:ascii="Helvetica" w:hAnsi="Helvetica" w:cs="Arial"/>
          <w:sz w:val="20"/>
          <w:szCs w:val="24"/>
        </w:rPr>
      </w:pPr>
    </w:p>
    <w:p w14:paraId="6675F094"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2. Būdas pagal 1 punktą, b e s i s k i r i a n t i s tuo, kad būdas papildomai apima antrinę nuskaidrinimo pakopą, panaudojant antrąjį filtrą, kurio porų dydis užtikrina mažiausiai apie 0,4 µm sulaikymo ribas.</w:t>
      </w:r>
    </w:p>
    <w:p w14:paraId="74CF2E9D" w14:textId="77777777" w:rsidR="00F97E2B" w:rsidRPr="00F97E2B" w:rsidRDefault="00F97E2B" w:rsidP="00F97E2B">
      <w:pPr>
        <w:spacing w:after="0" w:line="360" w:lineRule="auto"/>
        <w:ind w:firstLine="567"/>
        <w:jc w:val="both"/>
        <w:rPr>
          <w:rFonts w:ascii="Helvetica" w:hAnsi="Helvetica" w:cs="Arial"/>
          <w:sz w:val="20"/>
          <w:szCs w:val="24"/>
        </w:rPr>
      </w:pPr>
    </w:p>
    <w:p w14:paraId="559B5221"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3. Būdas pagal 1 arba 2 punktą, b e s i s k i r i a n t i s tuo, kad pirminiame nuskaidrinimo etape naudojamas pirmasis filtras, kurio porų dydis užtikrina sulaikymo ribas mažiausiai nuo apie 0,4 iki apie 9,0 µm.</w:t>
      </w:r>
    </w:p>
    <w:p w14:paraId="60DDE0B7" w14:textId="77777777" w:rsidR="00F97E2B" w:rsidRPr="00F97E2B" w:rsidRDefault="00F97E2B" w:rsidP="00F97E2B">
      <w:pPr>
        <w:spacing w:after="0" w:line="360" w:lineRule="auto"/>
        <w:ind w:firstLine="567"/>
        <w:jc w:val="both"/>
        <w:rPr>
          <w:rFonts w:ascii="Helvetica" w:hAnsi="Helvetica" w:cs="Arial"/>
          <w:sz w:val="20"/>
          <w:szCs w:val="24"/>
        </w:rPr>
      </w:pPr>
    </w:p>
    <w:p w14:paraId="42AA9933"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4. Būdas pagal 2 arba 3 punktą, b e s i s k i r i a n t i s tuo, kad antrojoje nuskaidrinimo pakopoje naudojamas antrasis filtras, kurio porų dydis užtikrina sulaikymo ribas mažiausiai nuo apie 0,4 iki apie 0,8 µm.</w:t>
      </w:r>
    </w:p>
    <w:p w14:paraId="73931CD7" w14:textId="77777777" w:rsidR="00F97E2B" w:rsidRPr="00F97E2B" w:rsidRDefault="00F97E2B" w:rsidP="00F97E2B">
      <w:pPr>
        <w:spacing w:after="0" w:line="360" w:lineRule="auto"/>
        <w:ind w:firstLine="567"/>
        <w:jc w:val="both"/>
        <w:rPr>
          <w:rFonts w:ascii="Helvetica" w:hAnsi="Helvetica" w:cs="Arial"/>
          <w:sz w:val="20"/>
          <w:szCs w:val="24"/>
        </w:rPr>
      </w:pPr>
    </w:p>
    <w:p w14:paraId="25C411DF"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5. Būdas pagal bet kurį iš 1-4 punktų, b e s i s k i r i a n t i s tuo, kad pirminė nuskaidrinimo pakopa ir (arba) antrinė nuskaidrinimo pakopa yra mikrofiltravimas.</w:t>
      </w:r>
    </w:p>
    <w:p w14:paraId="6E98A14E" w14:textId="77777777" w:rsidR="00F97E2B" w:rsidRPr="00F97E2B" w:rsidRDefault="00F97E2B" w:rsidP="00F97E2B">
      <w:pPr>
        <w:spacing w:after="0" w:line="360" w:lineRule="auto"/>
        <w:ind w:firstLine="567"/>
        <w:jc w:val="both"/>
        <w:rPr>
          <w:rFonts w:ascii="Helvetica" w:hAnsi="Helvetica" w:cs="Arial"/>
          <w:sz w:val="20"/>
          <w:szCs w:val="24"/>
        </w:rPr>
      </w:pPr>
    </w:p>
    <w:p w14:paraId="271B3862" w14:textId="77777777" w:rsidR="00E81D50" w:rsidRDefault="00F97E2B" w:rsidP="00E81D50">
      <w:pPr>
        <w:spacing w:after="0" w:line="360" w:lineRule="auto"/>
        <w:ind w:firstLine="567"/>
        <w:jc w:val="both"/>
        <w:rPr>
          <w:rFonts w:ascii="Helvetica" w:hAnsi="Helvetica" w:cs="Arial"/>
          <w:sz w:val="20"/>
          <w:szCs w:val="24"/>
        </w:rPr>
      </w:pPr>
      <w:r w:rsidRPr="00F97E2B">
        <w:rPr>
          <w:rFonts w:ascii="Helvetica" w:hAnsi="Helvetica" w:cs="Arial"/>
          <w:sz w:val="20"/>
          <w:szCs w:val="24"/>
        </w:rPr>
        <w:t>6. Būdas pagal 5 punktą, b e s i s k i r i a n t i s tuo, kad mikrofiltravimas yra giluminis mikrofiltravimas.</w:t>
      </w:r>
      <w:r w:rsidR="00E81D50">
        <w:rPr>
          <w:rFonts w:ascii="Helvetica" w:hAnsi="Helvetica" w:cs="Arial"/>
          <w:sz w:val="20"/>
          <w:szCs w:val="24"/>
        </w:rPr>
        <w:t xml:space="preserve"> </w:t>
      </w:r>
    </w:p>
    <w:p w14:paraId="1D6B11E6" w14:textId="77777777" w:rsidR="00E81D50" w:rsidRDefault="00E81D50" w:rsidP="00E81D50">
      <w:pPr>
        <w:spacing w:after="0" w:line="360" w:lineRule="auto"/>
        <w:ind w:firstLine="567"/>
        <w:jc w:val="both"/>
        <w:rPr>
          <w:rFonts w:ascii="Helvetica" w:hAnsi="Helvetica" w:cs="Arial"/>
          <w:sz w:val="20"/>
          <w:szCs w:val="24"/>
        </w:rPr>
      </w:pPr>
    </w:p>
    <w:p w14:paraId="6AB5E1DD" w14:textId="5A4ED5C0" w:rsidR="00F97E2B" w:rsidRPr="00F97E2B" w:rsidRDefault="00F97E2B" w:rsidP="00E81D50">
      <w:pPr>
        <w:spacing w:after="0" w:line="360" w:lineRule="auto"/>
        <w:ind w:firstLine="567"/>
        <w:jc w:val="both"/>
        <w:rPr>
          <w:rFonts w:ascii="Helvetica" w:hAnsi="Helvetica" w:cs="Arial"/>
          <w:sz w:val="20"/>
          <w:szCs w:val="24"/>
        </w:rPr>
      </w:pPr>
      <w:r w:rsidRPr="00F97E2B">
        <w:rPr>
          <w:rFonts w:ascii="Helvetica" w:hAnsi="Helvetica" w:cs="Arial"/>
          <w:sz w:val="20"/>
          <w:szCs w:val="24"/>
        </w:rPr>
        <w:t>7. Būdas pagal 5 arba 6 punktą, b e s i s k i r i a n t i s tuo, kad mikrofiltravimas yra pasirinktas iš normalaus srauto filtravimo (NFF) arba tangentinio srauto filtravimo (TFF).</w:t>
      </w:r>
    </w:p>
    <w:p w14:paraId="3D10055E" w14:textId="77777777" w:rsidR="00F97E2B" w:rsidRPr="00F97E2B" w:rsidRDefault="00F97E2B" w:rsidP="00F97E2B">
      <w:pPr>
        <w:spacing w:after="0" w:line="360" w:lineRule="auto"/>
        <w:jc w:val="both"/>
        <w:rPr>
          <w:rFonts w:ascii="Helvetica" w:hAnsi="Helvetica" w:cs="Arial"/>
          <w:sz w:val="20"/>
          <w:szCs w:val="24"/>
        </w:rPr>
      </w:pPr>
    </w:p>
    <w:p w14:paraId="5EA6C874"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8. Būdas pagal bet kurį iš ankstesnių punktų, b e s i s k i r i a n t i s tuo, kad nuskaidrintos ląstelių kultūros drumstumas yra mažesnis nei maždaug 20 NTU.</w:t>
      </w:r>
    </w:p>
    <w:p w14:paraId="7472734D" w14:textId="77777777" w:rsidR="00F97E2B" w:rsidRPr="00F97E2B" w:rsidRDefault="00F97E2B" w:rsidP="00F97E2B">
      <w:pPr>
        <w:spacing w:after="0" w:line="360" w:lineRule="auto"/>
        <w:ind w:firstLine="567"/>
        <w:jc w:val="both"/>
        <w:rPr>
          <w:rFonts w:ascii="Helvetica" w:hAnsi="Helvetica" w:cs="Arial"/>
          <w:sz w:val="20"/>
          <w:szCs w:val="24"/>
        </w:rPr>
      </w:pPr>
    </w:p>
    <w:p w14:paraId="3F64FCEE"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9. Būdas pagal bet kurį iš ankstesnių punktų, b e s i s k i r i a n t i s tuo, kad minėta fermentacijos pakopa apima stabilizuojančio agento įdėjimą į ląstelių kultūrą.</w:t>
      </w:r>
    </w:p>
    <w:p w14:paraId="51E3B598" w14:textId="77777777" w:rsidR="00F97E2B" w:rsidRPr="00F97E2B" w:rsidRDefault="00F97E2B" w:rsidP="00F97E2B">
      <w:pPr>
        <w:spacing w:after="0" w:line="360" w:lineRule="auto"/>
        <w:ind w:firstLine="567"/>
        <w:jc w:val="both"/>
        <w:rPr>
          <w:rFonts w:ascii="Helvetica" w:hAnsi="Helvetica" w:cs="Arial"/>
          <w:sz w:val="20"/>
          <w:szCs w:val="24"/>
        </w:rPr>
      </w:pPr>
    </w:p>
    <w:p w14:paraId="20481ACB"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lastRenderedPageBreak/>
        <w:t>10. Būdas pagal bet kurį iš ankstesnių punktų, b e s i s k i r i a n t i s tuo, kad būdas yra vykdomas uždaroje sistemoje taip, kad tarp bioreaktoriaus ir pirmojo bei antrojo nuskaidrinimo filtrų būtų palaikomas sterilus srautas.</w:t>
      </w:r>
    </w:p>
    <w:p w14:paraId="33F78F22" w14:textId="77777777" w:rsidR="00F97E2B" w:rsidRPr="00F97E2B" w:rsidRDefault="00F97E2B" w:rsidP="00F97E2B">
      <w:pPr>
        <w:spacing w:after="0" w:line="360" w:lineRule="auto"/>
        <w:ind w:firstLine="567"/>
        <w:jc w:val="both"/>
        <w:rPr>
          <w:rFonts w:ascii="Helvetica" w:hAnsi="Helvetica" w:cs="Arial"/>
          <w:sz w:val="20"/>
          <w:szCs w:val="24"/>
        </w:rPr>
      </w:pPr>
    </w:p>
    <w:p w14:paraId="0938998B"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11. Būdas pagal bet kurį iš ankstesnių punktų, b e s i s k i r i a n t i s tuo, kad papildomai apima pakopą, kurioje minėtai nuskaidrintai ląstelių kultūrai taikoma viena arba daugiau minėto rekombinantinio baltymo gryninimo pakopų.</w:t>
      </w:r>
    </w:p>
    <w:p w14:paraId="598C279B" w14:textId="77777777" w:rsidR="00F97E2B" w:rsidRPr="00F97E2B" w:rsidRDefault="00F97E2B" w:rsidP="00F97E2B">
      <w:pPr>
        <w:spacing w:after="0" w:line="360" w:lineRule="auto"/>
        <w:ind w:firstLine="567"/>
        <w:jc w:val="both"/>
        <w:rPr>
          <w:rFonts w:ascii="Helvetica" w:hAnsi="Helvetica" w:cs="Arial"/>
          <w:sz w:val="20"/>
          <w:szCs w:val="24"/>
        </w:rPr>
      </w:pPr>
    </w:p>
    <w:p w14:paraId="5B671B06"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12. Baltymų gamybos būdas, apimantis:</w:t>
      </w:r>
    </w:p>
    <w:p w14:paraId="1D84917E"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 xml:space="preserve">i. rekombinantinės </w:t>
      </w:r>
      <w:r w:rsidRPr="00F97E2B">
        <w:rPr>
          <w:rFonts w:ascii="Helvetica" w:hAnsi="Helvetica" w:cs="Arial"/>
          <w:i/>
          <w:sz w:val="20"/>
          <w:szCs w:val="24"/>
        </w:rPr>
        <w:t>Escherichia coli</w:t>
      </w:r>
      <w:r w:rsidRPr="00F97E2B">
        <w:rPr>
          <w:rFonts w:ascii="Helvetica" w:hAnsi="Helvetica" w:cs="Arial"/>
          <w:sz w:val="20"/>
          <w:szCs w:val="24"/>
        </w:rPr>
        <w:t xml:space="preserve"> ląstelės kultivavimą esant sąlygoms, kurios:</w:t>
      </w:r>
    </w:p>
    <w:p w14:paraId="01CE603A"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a) suteikia galimybę ekspresuoti baltymą; ir</w:t>
      </w:r>
    </w:p>
    <w:p w14:paraId="654E2F31"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b) suteikia galimybę ląstelę padaryti pralaidžią tam, kad susiformuotų sferoplastas, kuris išskiria baltymą; ir</w:t>
      </w:r>
    </w:p>
    <w:p w14:paraId="03754565"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ii. baltymo išskyrimą iš kultūros be visiško rekombinantinės ląstelės lizavimo, kur ląstelė apima raiškos sistemą, apimančią:</w:t>
      </w:r>
    </w:p>
    <w:p w14:paraId="44F3EEF6"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a) nukleorūgštį, koduojančią baltymą, funkcionaliai susietą su pirmuoju indukuojamu promotoriumi, kur baltymas yra neorganinė pirofosfatazė (IPP); ir</w:t>
      </w:r>
    </w:p>
    <w:p w14:paraId="5D2320D7" w14:textId="77777777" w:rsidR="00F97E2B" w:rsidRPr="00F97E2B" w:rsidRDefault="00F97E2B" w:rsidP="00F97E2B">
      <w:pPr>
        <w:spacing w:after="0" w:line="360" w:lineRule="auto"/>
        <w:jc w:val="both"/>
        <w:rPr>
          <w:rFonts w:ascii="Helvetica" w:hAnsi="Helvetica" w:cs="Arial"/>
          <w:sz w:val="20"/>
          <w:szCs w:val="24"/>
        </w:rPr>
      </w:pPr>
      <w:r w:rsidRPr="00F97E2B">
        <w:rPr>
          <w:rFonts w:ascii="Helvetica" w:hAnsi="Helvetica" w:cs="Arial"/>
          <w:sz w:val="20"/>
          <w:szCs w:val="24"/>
        </w:rPr>
        <w:t>b) nukleorūgštį, koduojančią T4 lizocimą rėmelyje su nukleorūgštimi, koduojančia PelB sekrecinį signalinį peptidą, funkcionaliai susietą su antruoju indukuojamu promotoriumi.</w:t>
      </w:r>
    </w:p>
    <w:p w14:paraId="35BBA6CB" w14:textId="77777777" w:rsidR="00F97E2B" w:rsidRPr="00F97E2B" w:rsidRDefault="00F97E2B" w:rsidP="00F97E2B">
      <w:pPr>
        <w:spacing w:after="0" w:line="360" w:lineRule="auto"/>
        <w:jc w:val="both"/>
        <w:rPr>
          <w:rFonts w:ascii="Helvetica" w:hAnsi="Helvetica" w:cs="Arial"/>
          <w:sz w:val="20"/>
          <w:szCs w:val="24"/>
        </w:rPr>
      </w:pPr>
    </w:p>
    <w:p w14:paraId="27AFD144"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13. Būdas pagal bet kurį iš 1-12 punktų, b e s i s k i r i a n t i s tuo, kad būdas neapima: (i) mechaninio ląstelių ardymo; (ii) egzogeninio fermento, kuris ardo ląstelės sienelę, pridėjimo; ir (iii) ląstelės transformavimo raiškos vektoriais, turinčiais nukleorūgštį, koduojančią egzogeninį fermentą, kuris ardo citoplazminę membraną.</w:t>
      </w:r>
    </w:p>
    <w:p w14:paraId="7819C8E3" w14:textId="77777777" w:rsidR="00F97E2B" w:rsidRPr="00F97E2B" w:rsidRDefault="00F97E2B" w:rsidP="00F97E2B">
      <w:pPr>
        <w:spacing w:after="0" w:line="360" w:lineRule="auto"/>
        <w:ind w:firstLine="567"/>
        <w:jc w:val="both"/>
        <w:rPr>
          <w:rFonts w:ascii="Helvetica" w:hAnsi="Helvetica" w:cs="Arial"/>
          <w:sz w:val="20"/>
          <w:szCs w:val="24"/>
        </w:rPr>
      </w:pPr>
    </w:p>
    <w:p w14:paraId="1EFBEC88"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14. Būdas pagal bet kurį iš 1-13 punktų, b e s i s k i r i a n t i s tuo, kad nukleorūgštis, koduojanti baltymą, funkcionaliai susietą su pirmuoju indukuojamu promotoriumi, yra pirmajame konstrukte, ir nukleorūgštis, koduojanti T4 lizocimą rėmelyje su nukleorūgštimi, koduojančia PelB. sekrecinį signalinį peptidą, yra antrajame konstrukte.</w:t>
      </w:r>
    </w:p>
    <w:p w14:paraId="02F26B49" w14:textId="77777777" w:rsidR="00F97E2B" w:rsidRPr="00F97E2B" w:rsidRDefault="00F97E2B" w:rsidP="00F97E2B">
      <w:pPr>
        <w:spacing w:after="0" w:line="360" w:lineRule="auto"/>
        <w:ind w:firstLine="567"/>
        <w:jc w:val="both"/>
        <w:rPr>
          <w:rFonts w:ascii="Helvetica" w:hAnsi="Helvetica" w:cs="Arial"/>
          <w:sz w:val="20"/>
          <w:szCs w:val="24"/>
        </w:rPr>
      </w:pPr>
    </w:p>
    <w:p w14:paraId="41ADD42E"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15. Būdas pagal bet kurį iš 1-14 punktų, b e s i s k i r i a n t i s tuo, kad pirmasis indukuojamas promotorius ir antrasis indukuojamas promotorius yra indukuojami nuosekliai.</w:t>
      </w:r>
    </w:p>
    <w:p w14:paraId="136FE0E4" w14:textId="77777777" w:rsidR="00F97E2B" w:rsidRPr="00F97E2B" w:rsidRDefault="00F97E2B" w:rsidP="00F97E2B">
      <w:pPr>
        <w:spacing w:after="0" w:line="360" w:lineRule="auto"/>
        <w:ind w:firstLine="567"/>
        <w:jc w:val="both"/>
        <w:rPr>
          <w:rFonts w:ascii="Helvetica" w:hAnsi="Helvetica" w:cs="Arial"/>
          <w:sz w:val="20"/>
          <w:szCs w:val="24"/>
        </w:rPr>
      </w:pPr>
    </w:p>
    <w:p w14:paraId="44B1BA15"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16. Būdas pagal bet kurį iš 1-14 punktų, b e s i s k i r i a n t i s tuo, kad pirmasis indukuojamas promotorius ir antrasis indukuojamas promotorius yra indukuojami vienu metu.</w:t>
      </w:r>
    </w:p>
    <w:p w14:paraId="6D9FED1B" w14:textId="77777777" w:rsidR="00F97E2B" w:rsidRPr="00F97E2B" w:rsidRDefault="00F97E2B" w:rsidP="00F97E2B">
      <w:pPr>
        <w:spacing w:after="0" w:line="360" w:lineRule="auto"/>
        <w:ind w:firstLine="567"/>
        <w:jc w:val="both"/>
        <w:rPr>
          <w:rFonts w:ascii="Helvetica" w:hAnsi="Helvetica" w:cs="Arial"/>
          <w:sz w:val="20"/>
          <w:szCs w:val="24"/>
        </w:rPr>
      </w:pPr>
    </w:p>
    <w:p w14:paraId="713C9B81"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17. Būdas pagal bet kurį iš ankstesnių punktų, b e s i s k i r i a n t i s tuo, kad pirmasis indukuojamas promotorius yra IPTG indukuojamas promotorius, pasirinktinai kur IPTG indukuojamas promotorius yra PT7.</w:t>
      </w:r>
    </w:p>
    <w:p w14:paraId="6D858D5F" w14:textId="77777777" w:rsidR="00F97E2B" w:rsidRPr="00F97E2B" w:rsidRDefault="00F97E2B" w:rsidP="00F97E2B">
      <w:pPr>
        <w:spacing w:after="0" w:line="360" w:lineRule="auto"/>
        <w:ind w:firstLine="567"/>
        <w:jc w:val="both"/>
        <w:rPr>
          <w:rFonts w:ascii="Helvetica" w:hAnsi="Helvetica" w:cs="Arial"/>
          <w:sz w:val="20"/>
          <w:szCs w:val="24"/>
        </w:rPr>
      </w:pPr>
    </w:p>
    <w:p w14:paraId="3D26A8F0"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18. Būdas pagal bet kurį iš ankstesnių punktų, b e s i s k i r i a n t i s tuo, kad antrasis indukuojamas promotorius yra arabinozės indukuojamas promotorius, pasirinktinai kur arabinozės indukuojamas promotorius yra araB.</w:t>
      </w:r>
    </w:p>
    <w:p w14:paraId="474EB1A5" w14:textId="77777777" w:rsidR="00F97E2B" w:rsidRPr="00F97E2B" w:rsidRDefault="00F97E2B" w:rsidP="00F97E2B">
      <w:pPr>
        <w:spacing w:after="0" w:line="360" w:lineRule="auto"/>
        <w:ind w:firstLine="567"/>
        <w:jc w:val="both"/>
        <w:rPr>
          <w:rFonts w:ascii="Helvetica" w:hAnsi="Helvetica" w:cs="Arial"/>
          <w:sz w:val="20"/>
          <w:szCs w:val="24"/>
        </w:rPr>
      </w:pPr>
    </w:p>
    <w:p w14:paraId="0F2BC972"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19. Būdas pagal bet kurį iš ankstesnių punktų, b e s i s k i r i a n t i s tuo, kad T4 lizocimo fermentą koduoja genas E.</w:t>
      </w:r>
    </w:p>
    <w:p w14:paraId="321BB32E" w14:textId="77777777" w:rsidR="00F97E2B" w:rsidRPr="00F97E2B" w:rsidRDefault="00F97E2B" w:rsidP="00F97E2B">
      <w:pPr>
        <w:spacing w:after="0" w:line="360" w:lineRule="auto"/>
        <w:ind w:firstLine="567"/>
        <w:jc w:val="both"/>
        <w:rPr>
          <w:rFonts w:ascii="Helvetica" w:hAnsi="Helvetica" w:cs="Arial"/>
          <w:sz w:val="20"/>
          <w:szCs w:val="24"/>
        </w:rPr>
      </w:pPr>
    </w:p>
    <w:p w14:paraId="1DDBCE1E"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 xml:space="preserve">20. Būdas pagal bet kurį iš ankstesnių punktų, b e s i s k i r i a n t i s tuo, kad </w:t>
      </w:r>
      <w:r w:rsidRPr="00F97E2B">
        <w:rPr>
          <w:rFonts w:ascii="Helvetica" w:hAnsi="Helvetica" w:cs="Arial"/>
          <w:i/>
          <w:sz w:val="20"/>
          <w:szCs w:val="24"/>
        </w:rPr>
        <w:t>E. coli</w:t>
      </w:r>
      <w:r w:rsidRPr="00F97E2B">
        <w:rPr>
          <w:rFonts w:ascii="Helvetica" w:hAnsi="Helvetica" w:cs="Arial"/>
          <w:sz w:val="20"/>
          <w:szCs w:val="24"/>
        </w:rPr>
        <w:t xml:space="preserve"> yra </w:t>
      </w:r>
      <w:r w:rsidRPr="00F97E2B">
        <w:rPr>
          <w:rFonts w:ascii="Helvetica" w:hAnsi="Helvetica" w:cs="Arial"/>
          <w:i/>
          <w:sz w:val="20"/>
          <w:szCs w:val="24"/>
        </w:rPr>
        <w:t>Escherichia coli</w:t>
      </w:r>
      <w:r w:rsidRPr="00F97E2B">
        <w:rPr>
          <w:rFonts w:ascii="Helvetica" w:hAnsi="Helvetica" w:cs="Arial"/>
          <w:sz w:val="20"/>
          <w:szCs w:val="24"/>
        </w:rPr>
        <w:t xml:space="preserve"> B kamienas.</w:t>
      </w:r>
    </w:p>
    <w:p w14:paraId="3606F3CD" w14:textId="77777777" w:rsidR="00F97E2B" w:rsidRPr="00F97E2B" w:rsidRDefault="00F97E2B" w:rsidP="00F97E2B">
      <w:pPr>
        <w:spacing w:after="0" w:line="360" w:lineRule="auto"/>
        <w:ind w:firstLine="567"/>
        <w:jc w:val="both"/>
        <w:rPr>
          <w:rFonts w:ascii="Helvetica" w:hAnsi="Helvetica" w:cs="Arial"/>
          <w:sz w:val="20"/>
          <w:szCs w:val="24"/>
        </w:rPr>
      </w:pPr>
    </w:p>
    <w:p w14:paraId="147F151D" w14:textId="0EFDE5BC"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 xml:space="preserve">21. Būdas pagal bet kurį iš ankstesnių punktų, b e s i s k i r i a n t i s tuo, kad </w:t>
      </w:r>
      <w:r w:rsidR="008E3A77" w:rsidRPr="008E3A77">
        <w:rPr>
          <w:rFonts w:ascii="Helvetica" w:hAnsi="Helvetica" w:cs="Arial"/>
          <w:sz w:val="20"/>
          <w:szCs w:val="24"/>
        </w:rPr>
        <w:t>fermentavimas arba kultivavimas apima pirmosios temperatūros pakeitimą į antrąją temperatūrą, pasirinktinai kur antroji temperatūra yra intervale nuo 25 °C iki 36 °C, o pirmoji temperatūra yra intervale nuo 36,8 °C iki 37,2 °C</w:t>
      </w:r>
      <w:r w:rsidRPr="00F97E2B">
        <w:rPr>
          <w:rFonts w:ascii="Helvetica" w:hAnsi="Helvetica" w:cs="Arial"/>
          <w:sz w:val="20"/>
          <w:szCs w:val="24"/>
        </w:rPr>
        <w:t>.</w:t>
      </w:r>
    </w:p>
    <w:p w14:paraId="4C9F9649" w14:textId="77777777" w:rsidR="00F97E2B" w:rsidRPr="00F97E2B" w:rsidRDefault="00F97E2B" w:rsidP="00F97E2B">
      <w:pPr>
        <w:spacing w:after="0" w:line="360" w:lineRule="auto"/>
        <w:ind w:firstLine="567"/>
        <w:jc w:val="both"/>
        <w:rPr>
          <w:rFonts w:ascii="Helvetica" w:hAnsi="Helvetica" w:cs="Arial"/>
          <w:sz w:val="20"/>
          <w:szCs w:val="24"/>
        </w:rPr>
      </w:pPr>
    </w:p>
    <w:p w14:paraId="6A59C68F" w14:textId="77777777" w:rsidR="00F97E2B" w:rsidRPr="00F97E2B" w:rsidRDefault="00F97E2B" w:rsidP="00F97E2B">
      <w:pPr>
        <w:spacing w:after="0" w:line="360" w:lineRule="auto"/>
        <w:ind w:firstLine="567"/>
        <w:jc w:val="both"/>
        <w:rPr>
          <w:rFonts w:ascii="Helvetica" w:hAnsi="Helvetica" w:cs="Arial"/>
          <w:sz w:val="20"/>
          <w:szCs w:val="24"/>
        </w:rPr>
      </w:pPr>
      <w:r w:rsidRPr="00F97E2B">
        <w:rPr>
          <w:rFonts w:ascii="Helvetica" w:hAnsi="Helvetica" w:cs="Arial"/>
          <w:sz w:val="20"/>
          <w:szCs w:val="24"/>
        </w:rPr>
        <w:t>22. Rekombinantinis baltymas, pagamintas būdu pagal bet kurį iš 1-21 punktų.</w:t>
      </w:r>
    </w:p>
    <w:p w14:paraId="460EFA77" w14:textId="77777777" w:rsidR="0018473C" w:rsidRPr="00F97E2B" w:rsidRDefault="0018473C" w:rsidP="00F97E2B">
      <w:pPr>
        <w:spacing w:after="0" w:line="360" w:lineRule="auto"/>
        <w:jc w:val="both"/>
        <w:rPr>
          <w:rFonts w:ascii="Helvetica" w:hAnsi="Helvetica"/>
          <w:sz w:val="20"/>
          <w:szCs w:val="24"/>
        </w:rPr>
      </w:pPr>
    </w:p>
    <w:sectPr w:rsidR="0018473C" w:rsidRPr="00F97E2B" w:rsidSect="00F97E2B">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07BB6" w14:textId="77777777" w:rsidR="00F97E2B" w:rsidRDefault="00F97E2B" w:rsidP="00F97E2B">
      <w:pPr>
        <w:spacing w:after="0" w:line="240" w:lineRule="auto"/>
      </w:pPr>
      <w:r>
        <w:separator/>
      </w:r>
    </w:p>
  </w:endnote>
  <w:endnote w:type="continuationSeparator" w:id="0">
    <w:p w14:paraId="51A117A3" w14:textId="77777777" w:rsidR="00F97E2B" w:rsidRDefault="00F97E2B" w:rsidP="00F9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6C909" w14:textId="77777777" w:rsidR="00F97E2B" w:rsidRDefault="00F97E2B" w:rsidP="00F97E2B">
      <w:pPr>
        <w:spacing w:after="0" w:line="240" w:lineRule="auto"/>
      </w:pPr>
      <w:r>
        <w:separator/>
      </w:r>
    </w:p>
  </w:footnote>
  <w:footnote w:type="continuationSeparator" w:id="0">
    <w:p w14:paraId="41F08398" w14:textId="77777777" w:rsidR="00F97E2B" w:rsidRDefault="00F97E2B" w:rsidP="00F97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97E2B"/>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3A77"/>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81D50"/>
    <w:rsid w:val="00ED14AF"/>
    <w:rsid w:val="00ED346B"/>
    <w:rsid w:val="00EE464B"/>
    <w:rsid w:val="00F20677"/>
    <w:rsid w:val="00F62893"/>
    <w:rsid w:val="00F812E3"/>
    <w:rsid w:val="00F83027"/>
    <w:rsid w:val="00F848A6"/>
    <w:rsid w:val="00F97E2B"/>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A2961"/>
  <w15:chartTrackingRefBased/>
  <w15:docId w15:val="{E9910D3F-AF0C-47C1-97F4-916E1149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E2B"/>
    <w:pPr>
      <w:spacing w:after="160" w:line="259" w:lineRule="auto"/>
    </w:pPr>
    <w:rPr>
      <w:rFonts w:eastAsiaTheme="minorHAnsi" w:cstheme="minorBidi"/>
      <w:kern w:val="0"/>
      <w:sz w:val="24"/>
      <w:szCs w:val="22"/>
      <w:lang w:eastAsia="en-US"/>
    </w:rPr>
  </w:style>
  <w:style w:type="paragraph" w:styleId="Antrat1">
    <w:name w:val="heading 1"/>
    <w:basedOn w:val="prastasis"/>
    <w:next w:val="prastasis"/>
    <w:link w:val="Antrat1Diagrama"/>
    <w:uiPriority w:val="9"/>
    <w:qFormat/>
    <w:rsid w:val="00F97E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F97E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F97E2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F97E2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97E2B"/>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F97E2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7E2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97E2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7E2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7E2B"/>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F97E2B"/>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F97E2B"/>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F97E2B"/>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F97E2B"/>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F97E2B"/>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F97E2B"/>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F97E2B"/>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F97E2B"/>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F97E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7E2B"/>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F97E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7E2B"/>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F97E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7E2B"/>
    <w:rPr>
      <w:i/>
      <w:iCs/>
      <w:color w:val="404040" w:themeColor="text1" w:themeTint="BF"/>
      <w:lang w:eastAsia="en-US"/>
    </w:rPr>
  </w:style>
  <w:style w:type="paragraph" w:styleId="Sraopastraipa">
    <w:name w:val="List Paragraph"/>
    <w:basedOn w:val="prastasis"/>
    <w:uiPriority w:val="34"/>
    <w:qFormat/>
    <w:rsid w:val="00F97E2B"/>
    <w:pPr>
      <w:ind w:left="720"/>
      <w:contextualSpacing/>
    </w:pPr>
  </w:style>
  <w:style w:type="character" w:styleId="Rykuspabraukimas">
    <w:name w:val="Intense Emphasis"/>
    <w:basedOn w:val="Numatytasispastraiposriftas"/>
    <w:uiPriority w:val="21"/>
    <w:qFormat/>
    <w:rsid w:val="00F97E2B"/>
    <w:rPr>
      <w:i/>
      <w:iCs/>
      <w:color w:val="365F91" w:themeColor="accent1" w:themeShade="BF"/>
    </w:rPr>
  </w:style>
  <w:style w:type="paragraph" w:styleId="Iskirtacitata">
    <w:name w:val="Intense Quote"/>
    <w:basedOn w:val="prastasis"/>
    <w:next w:val="prastasis"/>
    <w:link w:val="IskirtacitataDiagrama"/>
    <w:uiPriority w:val="30"/>
    <w:qFormat/>
    <w:rsid w:val="00F97E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F97E2B"/>
    <w:rPr>
      <w:i/>
      <w:iCs/>
      <w:color w:val="365F91" w:themeColor="accent1" w:themeShade="BF"/>
      <w:lang w:eastAsia="en-US"/>
    </w:rPr>
  </w:style>
  <w:style w:type="character" w:styleId="Rykinuoroda">
    <w:name w:val="Intense Reference"/>
    <w:basedOn w:val="Numatytasispastraiposriftas"/>
    <w:uiPriority w:val="32"/>
    <w:qFormat/>
    <w:rsid w:val="00F97E2B"/>
    <w:rPr>
      <w:b/>
      <w:bCs/>
      <w:smallCaps/>
      <w:color w:val="365F91" w:themeColor="accent1" w:themeShade="BF"/>
      <w:spacing w:val="5"/>
    </w:rPr>
  </w:style>
  <w:style w:type="paragraph" w:styleId="Antrats">
    <w:name w:val="header"/>
    <w:basedOn w:val="prastasis"/>
    <w:link w:val="AntratsDiagrama"/>
    <w:uiPriority w:val="99"/>
    <w:unhideWhenUsed/>
    <w:rsid w:val="00F97E2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97E2B"/>
    <w:rPr>
      <w:rFonts w:eastAsiaTheme="minorHAnsi" w:cstheme="minorBidi"/>
      <w:kern w:val="0"/>
      <w:sz w:val="24"/>
      <w:szCs w:val="22"/>
      <w:lang w:eastAsia="en-US"/>
    </w:rPr>
  </w:style>
  <w:style w:type="paragraph" w:styleId="Porat">
    <w:name w:val="footer"/>
    <w:basedOn w:val="prastasis"/>
    <w:link w:val="PoratDiagrama"/>
    <w:uiPriority w:val="99"/>
    <w:unhideWhenUsed/>
    <w:rsid w:val="00F97E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7E2B"/>
    <w:rPr>
      <w:rFonts w:eastAsiaTheme="minorHAnsi" w:cstheme="minorBidi"/>
      <w:kern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3798</Words>
  <Characters>2165</Characters>
  <Application>Microsoft Office Word</Application>
  <DocSecurity>0</DocSecurity>
  <Lines>18</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3</cp:revision>
  <dcterms:created xsi:type="dcterms:W3CDTF">2024-04-12T06:08:00Z</dcterms:created>
  <dcterms:modified xsi:type="dcterms:W3CDTF">2024-04-12T06:29:00Z</dcterms:modified>
</cp:coreProperties>
</file>