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0323" w14:textId="20B7A937" w:rsidR="0018473C" w:rsidRPr="003435A6" w:rsidRDefault="003435A6" w:rsidP="003435A6">
      <w:pPr>
        <w:spacing w:after="0" w:line="360" w:lineRule="auto"/>
        <w:jc w:val="both"/>
        <w:rPr>
          <w:rFonts w:ascii="Helvetica" w:hAnsi="Helvetica"/>
          <w:sz w:val="20"/>
        </w:rPr>
      </w:pPr>
      <w:r w:rsidRPr="003435A6">
        <w:rPr>
          <w:rFonts w:ascii="Helvetica" w:hAnsi="Helvetica"/>
          <w:sz w:val="20"/>
        </w:rPr>
        <w:t>Išradimas yra susijęs su efektyviomis didelės energijos ultratrumpųjų impulsų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lazerinėmis sistemomis, kuriose yra užtikrinama aukšta erdvinė ir laikinė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spinduliuotės kokybė. Šio išradimo lazerinė sistema apima kvantinį lazerinės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spinduliuotės stiprintuvą, turintį savyje bent vieną stiprinimo elementą ir bent vieną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netiesinės fazės kompensavimo elementą. Netiesinės fazės kompensavimui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 xml:space="preserve">panaudojami kvadratinio netiesiškumo elementai, kuriuose vyksta </w:t>
      </w:r>
      <w:proofErr w:type="spellStart"/>
      <w:r w:rsidRPr="003435A6">
        <w:rPr>
          <w:rFonts w:ascii="Helvetica" w:hAnsi="Helvetica"/>
          <w:sz w:val="20"/>
        </w:rPr>
        <w:t>kaskadiniai</w:t>
      </w:r>
      <w:proofErr w:type="spellEnd"/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netiesiniai reiškiniai. Neigiama netiesinė fazė, reikalinga kompensacijai, yra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gaunama generuojant antrą harmoniką I-tipo AHG kristale išderinto fazinio</w:t>
      </w:r>
      <w:r w:rsidRPr="003435A6">
        <w:rPr>
          <w:rFonts w:ascii="Helvetica" w:hAnsi="Helvetica"/>
          <w:sz w:val="20"/>
        </w:rPr>
        <w:t xml:space="preserve"> </w:t>
      </w:r>
      <w:proofErr w:type="spellStart"/>
      <w:r w:rsidRPr="003435A6">
        <w:rPr>
          <w:rFonts w:ascii="Helvetica" w:hAnsi="Helvetica"/>
          <w:sz w:val="20"/>
        </w:rPr>
        <w:t>sinchronizmo</w:t>
      </w:r>
      <w:proofErr w:type="spellEnd"/>
      <w:r w:rsidRPr="003435A6">
        <w:rPr>
          <w:rFonts w:ascii="Helvetica" w:hAnsi="Helvetica"/>
          <w:sz w:val="20"/>
        </w:rPr>
        <w:t xml:space="preserve"> sąlygomis arba II-tipo AHG kristale neišderinto arba išderinto fazinio</w:t>
      </w:r>
      <w:r w:rsidRPr="003435A6">
        <w:rPr>
          <w:rFonts w:ascii="Helvetica" w:hAnsi="Helvetica"/>
          <w:sz w:val="20"/>
        </w:rPr>
        <w:t xml:space="preserve"> </w:t>
      </w:r>
      <w:proofErr w:type="spellStart"/>
      <w:r w:rsidRPr="003435A6">
        <w:rPr>
          <w:rFonts w:ascii="Helvetica" w:hAnsi="Helvetica"/>
          <w:sz w:val="20"/>
        </w:rPr>
        <w:t>sinchronizmo</w:t>
      </w:r>
      <w:proofErr w:type="spellEnd"/>
      <w:r w:rsidRPr="003435A6">
        <w:rPr>
          <w:rFonts w:ascii="Helvetica" w:hAnsi="Helvetica"/>
          <w:sz w:val="20"/>
        </w:rPr>
        <w:t xml:space="preserve"> sąlygomis. Gali būti panaudojami keli AHG kristalai ir</w:t>
      </w:r>
      <w:r w:rsidRPr="003435A6">
        <w:rPr>
          <w:rFonts w:ascii="Helvetica" w:hAnsi="Helvetica"/>
          <w:sz w:val="20"/>
        </w:rPr>
        <w:t xml:space="preserve"> (</w:t>
      </w:r>
      <w:r w:rsidRPr="003435A6">
        <w:rPr>
          <w:rFonts w:ascii="Helvetica" w:hAnsi="Helvetica"/>
          <w:sz w:val="20"/>
        </w:rPr>
        <w:t>arba</w:t>
      </w:r>
      <w:r w:rsidRPr="003435A6">
        <w:rPr>
          <w:rFonts w:ascii="Helvetica" w:hAnsi="Helvetica"/>
          <w:sz w:val="20"/>
        </w:rPr>
        <w:t>)</w:t>
      </w:r>
      <w:r w:rsidRPr="003435A6">
        <w:rPr>
          <w:rFonts w:ascii="Helvetica" w:hAnsi="Helvetica"/>
          <w:sz w:val="20"/>
        </w:rPr>
        <w:t xml:space="preserve"> I-tipo bei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II-tipo AHG kristalų kombinacija. Netiesinės fazės absoliutinis dydis, kuris yra šio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išradimo lazerinėje sistemoje yra intervale nuo π iki 6π radianų, o išėjimo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spinduliuotės likutinis netiesinės fazės dydis neviršija π radianų. Prioritetiniame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 xml:space="preserve">išpildyme išėjimo spinduliuotės impulsų energija yra ne mažesnė kaip 200 </w:t>
      </w:r>
      <w:proofErr w:type="spellStart"/>
      <w:r w:rsidRPr="003435A6">
        <w:rPr>
          <w:rFonts w:ascii="Helvetica" w:hAnsi="Helvetica"/>
          <w:sz w:val="20"/>
        </w:rPr>
        <w:t>mJ</w:t>
      </w:r>
      <w:proofErr w:type="spellEnd"/>
      <w:r w:rsidRPr="003435A6">
        <w:rPr>
          <w:rFonts w:ascii="Helvetica" w:hAnsi="Helvetica"/>
          <w:sz w:val="20"/>
        </w:rPr>
        <w:t>, o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 xml:space="preserve">impulsų trukmė yra intervale nuo 5 </w:t>
      </w:r>
      <w:proofErr w:type="spellStart"/>
      <w:r w:rsidRPr="003435A6">
        <w:rPr>
          <w:rFonts w:ascii="Helvetica" w:hAnsi="Helvetica"/>
          <w:sz w:val="20"/>
        </w:rPr>
        <w:t>ps</w:t>
      </w:r>
      <w:proofErr w:type="spellEnd"/>
      <w:r w:rsidRPr="003435A6">
        <w:rPr>
          <w:rFonts w:ascii="Helvetica" w:hAnsi="Helvetica"/>
          <w:sz w:val="20"/>
        </w:rPr>
        <w:t xml:space="preserve"> iki 100 </w:t>
      </w:r>
      <w:proofErr w:type="spellStart"/>
      <w:r w:rsidRPr="003435A6">
        <w:rPr>
          <w:rFonts w:ascii="Helvetica" w:hAnsi="Helvetica"/>
          <w:sz w:val="20"/>
        </w:rPr>
        <w:t>ps</w:t>
      </w:r>
      <w:proofErr w:type="spellEnd"/>
      <w:r w:rsidRPr="003435A6">
        <w:rPr>
          <w:rFonts w:ascii="Helvetica" w:hAnsi="Helvetica"/>
          <w:sz w:val="20"/>
        </w:rPr>
        <w:t>, o bendras stiprinimo elementų</w:t>
      </w:r>
      <w:r w:rsidRPr="003435A6">
        <w:rPr>
          <w:rFonts w:ascii="Helvetica" w:hAnsi="Helvetica"/>
          <w:sz w:val="20"/>
        </w:rPr>
        <w:t xml:space="preserve"> </w:t>
      </w:r>
      <w:proofErr w:type="spellStart"/>
      <w:r w:rsidRPr="003435A6">
        <w:rPr>
          <w:rFonts w:ascii="Helvetica" w:hAnsi="Helvetica"/>
          <w:sz w:val="20"/>
        </w:rPr>
        <w:t>užpildos</w:t>
      </w:r>
      <w:proofErr w:type="spellEnd"/>
      <w:r w:rsidRPr="003435A6">
        <w:rPr>
          <w:rFonts w:ascii="Helvetica" w:hAnsi="Helvetica"/>
          <w:sz w:val="20"/>
        </w:rPr>
        <w:t xml:space="preserve"> </w:t>
      </w:r>
      <w:proofErr w:type="spellStart"/>
      <w:r w:rsidRPr="003435A6">
        <w:rPr>
          <w:rFonts w:ascii="Helvetica" w:hAnsi="Helvetica"/>
          <w:sz w:val="20"/>
        </w:rPr>
        <w:t>apgrąžos</w:t>
      </w:r>
      <w:proofErr w:type="spellEnd"/>
      <w:r w:rsidRPr="003435A6">
        <w:rPr>
          <w:rFonts w:ascii="Helvetica" w:hAnsi="Helvetica"/>
          <w:sz w:val="20"/>
        </w:rPr>
        <w:t xml:space="preserve"> panaudojimo efektyvumas yra ne mažesnis kaip 30</w:t>
      </w:r>
      <w:r w:rsidRPr="003435A6">
        <w:rPr>
          <w:rFonts w:ascii="Helvetica" w:hAnsi="Helvetica"/>
          <w:sz w:val="20"/>
        </w:rPr>
        <w:t xml:space="preserve"> </w:t>
      </w:r>
      <w:r w:rsidRPr="003435A6">
        <w:rPr>
          <w:rFonts w:ascii="Helvetica" w:hAnsi="Helvetica"/>
          <w:sz w:val="20"/>
        </w:rPr>
        <w:t>%.</w:t>
      </w:r>
      <w:r w:rsidRPr="003435A6">
        <w:rPr>
          <w:rFonts w:ascii="Helvetica" w:hAnsi="Helvetica"/>
          <w:sz w:val="20"/>
        </w:rPr>
        <w:t xml:space="preserve"> </w:t>
      </w:r>
    </w:p>
    <w:sectPr w:rsidR="0018473C" w:rsidRPr="003435A6" w:rsidSect="003435A6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7465" w14:textId="77777777" w:rsidR="003435A6" w:rsidRDefault="003435A6" w:rsidP="003435A6">
      <w:pPr>
        <w:spacing w:after="0" w:line="240" w:lineRule="auto"/>
      </w:pPr>
      <w:r>
        <w:separator/>
      </w:r>
    </w:p>
  </w:endnote>
  <w:endnote w:type="continuationSeparator" w:id="0">
    <w:p w14:paraId="174BF680" w14:textId="77777777" w:rsidR="003435A6" w:rsidRDefault="003435A6" w:rsidP="0034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8285B" w14:textId="77777777" w:rsidR="003435A6" w:rsidRDefault="003435A6" w:rsidP="003435A6">
      <w:pPr>
        <w:spacing w:after="0" w:line="240" w:lineRule="auto"/>
      </w:pPr>
      <w:r>
        <w:separator/>
      </w:r>
    </w:p>
  </w:footnote>
  <w:footnote w:type="continuationSeparator" w:id="0">
    <w:p w14:paraId="65E8F3CC" w14:textId="77777777" w:rsidR="003435A6" w:rsidRDefault="003435A6" w:rsidP="00343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A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435A6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10E7B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56354"/>
  <w15:chartTrackingRefBased/>
  <w15:docId w15:val="{B057A5C1-A852-4039-B4A9-5841D990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5A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5A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5A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5A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5A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5A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5A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5A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5A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5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5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5A6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5A6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5A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5A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5A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5A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435A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5A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5A6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43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5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5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5A6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435A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A6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5A6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1103</Characters>
  <Application>Microsoft Office Word</Application>
  <DocSecurity>0</DocSecurity>
  <Lines>13</Lines>
  <Paragraphs>4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2024-11-12T12:45:00Z</dcterms:created>
  <dcterms:modified xsi:type="dcterms:W3CDTF">2024-11-12T12:48:00Z</dcterms:modified>
</cp:coreProperties>
</file>