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9BA6" w14:textId="48FA958B" w:rsidR="0018473C" w:rsidRPr="00A4002A" w:rsidRDefault="00A4002A" w:rsidP="00A4002A">
      <w:pPr>
        <w:spacing w:after="0" w:line="360" w:lineRule="auto"/>
        <w:jc w:val="both"/>
        <w:rPr>
          <w:rFonts w:ascii="Helvetica" w:hAnsi="Helvetica"/>
          <w:sz w:val="20"/>
        </w:rPr>
      </w:pPr>
      <w:r w:rsidRPr="00A4002A">
        <w:rPr>
          <w:rFonts w:ascii="Helvetica" w:hAnsi="Helvetica"/>
          <w:sz w:val="20"/>
        </w:rPr>
        <w:t xml:space="preserve">Šis išradimas susijęs su elektrinių </w:t>
      </w:r>
      <w:proofErr w:type="spellStart"/>
      <w:r w:rsidRPr="00A4002A">
        <w:rPr>
          <w:rFonts w:ascii="Helvetica" w:hAnsi="Helvetica"/>
          <w:sz w:val="20"/>
        </w:rPr>
        <w:t>žemagrindžių</w:t>
      </w:r>
      <w:proofErr w:type="spellEnd"/>
      <w:r w:rsidRPr="00A4002A">
        <w:rPr>
          <w:rFonts w:ascii="Helvetica" w:hAnsi="Helvetica"/>
          <w:sz w:val="20"/>
        </w:rPr>
        <w:t xml:space="preserve"> autobusų kompozitine platforma, kuri</w:t>
      </w:r>
      <w:r w:rsidRPr="00A4002A">
        <w:rPr>
          <w:rFonts w:ascii="Helvetica" w:hAnsi="Helvetica"/>
          <w:sz w:val="20"/>
        </w:rPr>
        <w:t xml:space="preserve"> </w:t>
      </w:r>
      <w:r w:rsidRPr="00A4002A">
        <w:rPr>
          <w:rFonts w:ascii="Helvetica" w:hAnsi="Helvetica"/>
          <w:sz w:val="20"/>
        </w:rPr>
        <w:t>pagaminta iš pluoštu armuoto plastiko, išlieto vakuuminės infuzijos būdu. Pagrindinė</w:t>
      </w:r>
      <w:r w:rsidRPr="00A4002A">
        <w:rPr>
          <w:rFonts w:ascii="Helvetica" w:hAnsi="Helvetica"/>
          <w:sz w:val="20"/>
        </w:rPr>
        <w:t xml:space="preserve"> </w:t>
      </w:r>
      <w:r w:rsidRPr="00A4002A">
        <w:rPr>
          <w:rFonts w:ascii="Helvetica" w:hAnsi="Helvetica"/>
          <w:sz w:val="20"/>
        </w:rPr>
        <w:t>platformos ypatybė – iš skersinių ir išilginių sijų sudarytas kompozitinis rėmas. Taip pat sijose</w:t>
      </w:r>
      <w:r w:rsidRPr="00A4002A">
        <w:rPr>
          <w:rFonts w:ascii="Helvetica" w:hAnsi="Helvetica"/>
          <w:sz w:val="20"/>
        </w:rPr>
        <w:t xml:space="preserve"> </w:t>
      </w:r>
      <w:r w:rsidRPr="00A4002A">
        <w:rPr>
          <w:rFonts w:ascii="Helvetica" w:hAnsi="Helvetica"/>
          <w:sz w:val="20"/>
        </w:rPr>
        <w:t>yra įrengti intarpai transporto priemonių komponentams sandariai pritvirtinti. Atskiros priekinė</w:t>
      </w:r>
      <w:r w:rsidRPr="00A4002A">
        <w:rPr>
          <w:rFonts w:ascii="Helvetica" w:hAnsi="Helvetica"/>
          <w:sz w:val="20"/>
        </w:rPr>
        <w:t xml:space="preserve"> </w:t>
      </w:r>
      <w:r w:rsidRPr="00A4002A">
        <w:rPr>
          <w:rFonts w:ascii="Helvetica" w:hAnsi="Helvetica"/>
          <w:sz w:val="20"/>
        </w:rPr>
        <w:t>ir galinė arkos yra skirtos transporto priemonės ašims ir pakabos elementams laikyti. Taip pat</w:t>
      </w:r>
      <w:r w:rsidRPr="00A4002A">
        <w:rPr>
          <w:rFonts w:ascii="Helvetica" w:hAnsi="Helvetica"/>
          <w:sz w:val="20"/>
        </w:rPr>
        <w:t xml:space="preserve"> </w:t>
      </w:r>
      <w:r w:rsidRPr="00A4002A">
        <w:rPr>
          <w:rFonts w:ascii="Helvetica" w:hAnsi="Helvetica"/>
          <w:sz w:val="20"/>
        </w:rPr>
        <w:t>yra integruotos išorinės plieninės jungtys, kurias galima pritaikyti konkretiems ašies tipams /</w:t>
      </w:r>
      <w:r w:rsidRPr="00A4002A">
        <w:rPr>
          <w:rFonts w:ascii="Helvetica" w:hAnsi="Helvetica"/>
          <w:sz w:val="20"/>
        </w:rPr>
        <w:t xml:space="preserve"> </w:t>
      </w:r>
      <w:r w:rsidRPr="00A4002A">
        <w:rPr>
          <w:rFonts w:ascii="Helvetica" w:hAnsi="Helvetica"/>
          <w:sz w:val="20"/>
        </w:rPr>
        <w:t>modeliams. Platforma pasižymi plokščia, trimate grindų pakloto struktūra. Prie rėmo priklijuoti</w:t>
      </w:r>
      <w:r w:rsidRPr="00A4002A">
        <w:rPr>
          <w:rFonts w:ascii="Helvetica" w:hAnsi="Helvetica"/>
          <w:sz w:val="20"/>
        </w:rPr>
        <w:t xml:space="preserve"> </w:t>
      </w:r>
      <w:r w:rsidRPr="00A4002A">
        <w:rPr>
          <w:rFonts w:ascii="Helvetica" w:hAnsi="Helvetica"/>
          <w:sz w:val="20"/>
        </w:rPr>
        <w:t>grindų pakloto komponentai pagerina platformos horizontalų standumą, kuriuose yra</w:t>
      </w:r>
      <w:r w:rsidRPr="00A4002A">
        <w:rPr>
          <w:rFonts w:ascii="Helvetica" w:hAnsi="Helvetica"/>
          <w:sz w:val="20"/>
        </w:rPr>
        <w:t xml:space="preserve"> </w:t>
      </w:r>
      <w:r w:rsidRPr="00A4002A">
        <w:rPr>
          <w:rFonts w:ascii="Helvetica" w:hAnsi="Helvetica"/>
          <w:sz w:val="20"/>
        </w:rPr>
        <w:t>stačiakampė išpjova rampai neįgaliesiems įrengti. Novatoriška konstrukcija suteikia galimybę</w:t>
      </w:r>
      <w:r w:rsidRPr="00A4002A">
        <w:rPr>
          <w:rFonts w:ascii="Helvetica" w:hAnsi="Helvetica"/>
          <w:sz w:val="20"/>
        </w:rPr>
        <w:t xml:space="preserve"> </w:t>
      </w:r>
      <w:r w:rsidRPr="00A4002A">
        <w:rPr>
          <w:rFonts w:ascii="Helvetica" w:hAnsi="Helvetica"/>
          <w:sz w:val="20"/>
        </w:rPr>
        <w:t>keisti priekinių ir galinių arkų išorines jungtis, kurias lengva pritaikyti įvairių tipų ir gamintojų</w:t>
      </w:r>
      <w:r w:rsidRPr="00A4002A">
        <w:rPr>
          <w:rFonts w:ascii="Helvetica" w:hAnsi="Helvetica"/>
          <w:sz w:val="20"/>
        </w:rPr>
        <w:t xml:space="preserve"> </w:t>
      </w:r>
      <w:r w:rsidRPr="00A4002A">
        <w:rPr>
          <w:rFonts w:ascii="Helvetica" w:hAnsi="Helvetica"/>
          <w:sz w:val="20"/>
        </w:rPr>
        <w:t>ašims. Ši platforma pasižymi lengvumu ir atsparumu korozijai, tuo pačiu išlaikydama</w:t>
      </w:r>
      <w:r w:rsidRPr="00A4002A">
        <w:rPr>
          <w:rFonts w:ascii="Helvetica" w:hAnsi="Helvetica"/>
          <w:sz w:val="20"/>
        </w:rPr>
        <w:t xml:space="preserve"> </w:t>
      </w:r>
      <w:r w:rsidRPr="00A4002A">
        <w:rPr>
          <w:rFonts w:ascii="Helvetica" w:hAnsi="Helvetica"/>
          <w:sz w:val="20"/>
        </w:rPr>
        <w:t>transporto priemonei eksploatuoti būtiną tvirtumą ir standumą.</w:t>
      </w:r>
    </w:p>
    <w:sectPr w:rsidR="0018473C" w:rsidRPr="00A4002A" w:rsidSect="00A4002A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F075" w14:textId="77777777" w:rsidR="00A4002A" w:rsidRDefault="00A4002A" w:rsidP="00A4002A">
      <w:pPr>
        <w:spacing w:after="0" w:line="240" w:lineRule="auto"/>
      </w:pPr>
      <w:r>
        <w:separator/>
      </w:r>
    </w:p>
  </w:endnote>
  <w:endnote w:type="continuationSeparator" w:id="0">
    <w:p w14:paraId="615A5367" w14:textId="77777777" w:rsidR="00A4002A" w:rsidRDefault="00A4002A" w:rsidP="00A4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90E2" w14:textId="77777777" w:rsidR="00A4002A" w:rsidRDefault="00A4002A" w:rsidP="00A4002A">
      <w:pPr>
        <w:spacing w:after="0" w:line="240" w:lineRule="auto"/>
      </w:pPr>
      <w:r>
        <w:separator/>
      </w:r>
    </w:p>
  </w:footnote>
  <w:footnote w:type="continuationSeparator" w:id="0">
    <w:p w14:paraId="6377916D" w14:textId="77777777" w:rsidR="00A4002A" w:rsidRDefault="00A4002A" w:rsidP="00A40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2A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60C8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002A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1AB74"/>
  <w15:chartTrackingRefBased/>
  <w15:docId w15:val="{128D7ED4-C300-4F2B-A2E2-166DD14A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02A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02A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02A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02A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02A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02A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02A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02A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02A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02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02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02A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02A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0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0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0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0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4002A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02A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02A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A40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0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0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02A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4002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0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2A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2A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949</Characters>
  <Application>Microsoft Office Word</Application>
  <DocSecurity>0</DocSecurity>
  <Lines>11</Lines>
  <Paragraphs>3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2025-01-20T07:54:00Z</dcterms:created>
  <dcterms:modified xsi:type="dcterms:W3CDTF">2025-01-20T07:56:00Z</dcterms:modified>
</cp:coreProperties>
</file>