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CDF947" w14:textId="777777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1. T ląstelių dozė, skirta naudoti subjekto dauginės mielomos gydymo būdui, kur T</w:t>
      </w:r>
    </w:p>
    <w:p w14:paraId="7CE0ED02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ląstelės apima chimerinį antigeno receptorių (CAR), apimantį:</w:t>
      </w:r>
    </w:p>
    <w:p w14:paraId="57D1A258" w14:textId="16933933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(a) </w:t>
      </w:r>
      <w:proofErr w:type="spellStart"/>
      <w:r w:rsidRPr="006B1BE9">
        <w:rPr>
          <w:rFonts w:ascii="Helvetica" w:hAnsi="Helvetica" w:cs="Helvetica"/>
          <w:szCs w:val="24"/>
        </w:rPr>
        <w:t>ekstraląstelinį</w:t>
      </w:r>
      <w:proofErr w:type="spellEnd"/>
      <w:r w:rsidRPr="006B1BE9">
        <w:rPr>
          <w:rFonts w:ascii="Helvetica" w:hAnsi="Helvetica" w:cs="Helvetica"/>
          <w:szCs w:val="24"/>
        </w:rPr>
        <w:t xml:space="preserve"> antigeną surišantį domeną, gebantį specifiškai susirišti su B</w:t>
      </w:r>
      <w:r w:rsidR="00B178F5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ląstelių brendimo antigeno (BCMA) </w:t>
      </w:r>
      <w:proofErr w:type="spellStart"/>
      <w:r w:rsidRPr="006B1BE9">
        <w:rPr>
          <w:rFonts w:ascii="Helvetica" w:hAnsi="Helvetica" w:cs="Helvetica"/>
          <w:szCs w:val="24"/>
        </w:rPr>
        <w:t>epitopu</w:t>
      </w:r>
      <w:proofErr w:type="spellEnd"/>
      <w:r w:rsidRPr="006B1BE9">
        <w:rPr>
          <w:rFonts w:ascii="Helvetica" w:hAnsi="Helvetica" w:cs="Helvetica"/>
          <w:szCs w:val="24"/>
        </w:rPr>
        <w:t>,</w:t>
      </w:r>
    </w:p>
    <w:p w14:paraId="204DE96E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(b) </w:t>
      </w:r>
      <w:proofErr w:type="spellStart"/>
      <w:r w:rsidRPr="006B1BE9">
        <w:rPr>
          <w:rFonts w:ascii="Helvetica" w:hAnsi="Helvetica" w:cs="Helvetica"/>
          <w:szCs w:val="24"/>
        </w:rPr>
        <w:t>transmembraninį</w:t>
      </w:r>
      <w:proofErr w:type="spellEnd"/>
      <w:r w:rsidRPr="006B1BE9">
        <w:rPr>
          <w:rFonts w:ascii="Helvetica" w:hAnsi="Helvetica" w:cs="Helvetica"/>
          <w:szCs w:val="24"/>
        </w:rPr>
        <w:t xml:space="preserve"> domeną, ir</w:t>
      </w:r>
    </w:p>
    <w:p w14:paraId="6800E42B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(c) </w:t>
      </w:r>
      <w:proofErr w:type="spellStart"/>
      <w:r w:rsidRPr="006B1BE9">
        <w:rPr>
          <w:rFonts w:ascii="Helvetica" w:hAnsi="Helvetica" w:cs="Helvetica"/>
          <w:szCs w:val="24"/>
        </w:rPr>
        <w:t>viduląstelinį</w:t>
      </w:r>
      <w:proofErr w:type="spellEnd"/>
      <w:r w:rsidRPr="006B1BE9">
        <w:rPr>
          <w:rFonts w:ascii="Helvetica" w:hAnsi="Helvetica" w:cs="Helvetica"/>
          <w:szCs w:val="24"/>
        </w:rPr>
        <w:t xml:space="preserve"> signalinį domeną;</w:t>
      </w:r>
    </w:p>
    <w:p w14:paraId="40A4E5DA" w14:textId="6758FA9A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 subjektui buvo taikyta nuo vienos iki trijų ankstesnių gydymo eilių, įskaitant gydymą</w:t>
      </w:r>
      <w:r w:rsidR="00B178F5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imunomoduliuojančiu</w:t>
      </w:r>
      <w:proofErr w:type="spellEnd"/>
      <w:r w:rsidRPr="006B1BE9">
        <w:rPr>
          <w:rFonts w:ascii="Helvetica" w:hAnsi="Helvetica" w:cs="Helvetica"/>
          <w:szCs w:val="24"/>
        </w:rPr>
        <w:t xml:space="preserve"> vaistu (</w:t>
      </w:r>
      <w:proofErr w:type="spellStart"/>
      <w:r w:rsidRPr="006B1BE9">
        <w:rPr>
          <w:rFonts w:ascii="Helvetica" w:hAnsi="Helvetica" w:cs="Helvetica"/>
          <w:szCs w:val="24"/>
        </w:rPr>
        <w:t>IMiD</w:t>
      </w:r>
      <w:proofErr w:type="spellEnd"/>
      <w:r w:rsidRPr="006B1BE9">
        <w:rPr>
          <w:rFonts w:ascii="Helvetica" w:hAnsi="Helvetica" w:cs="Helvetica"/>
          <w:szCs w:val="24"/>
        </w:rPr>
        <w:t xml:space="preserve">), ir jis yra atsparus gydymui </w:t>
      </w:r>
      <w:proofErr w:type="spellStart"/>
      <w:r w:rsidRPr="006B1BE9">
        <w:rPr>
          <w:rFonts w:ascii="Helvetica" w:hAnsi="Helvetica" w:cs="Helvetica"/>
          <w:szCs w:val="24"/>
        </w:rPr>
        <w:t>IMiD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1D777344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5B8679F" w14:textId="5E6CD661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2. T ląstelių dozė, skirta naudoti pagal 1 punktą, kur subjektui būdingas didelės rizikos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požymis ir kur, pasirinktinai, didelės rizikos požymis yra citogenetinė anomalija,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Tarptautinės stadijų klasifikavimo sistemos (TSS) III stadija ir (arba) minkštųjų audinių</w:t>
      </w:r>
      <w:r w:rsidR="00A01180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plazmacitomos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77855A09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C8C1058" w14:textId="4679A73C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3. T ląstelių dozė, skirta naudoti pagal 1 punktą, kur būdas taip pat apima nustatymą,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ar subjektui būdingas didelės rizikos požymis, t. y. citogenetinė anomalija, Tarptautinės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stadijų klasifikavimo sistemos (TSS) III stadija ir (arba) minkštųjų audinių</w:t>
      </w:r>
      <w:r w:rsidR="00A01180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plazmacitomos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00DC3C47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F64328B" w14:textId="6E396F82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4. T ląstelių dozė, skirta naudoti pagal bet kurį iš 1-3 punktų, kur CAR </w:t>
      </w:r>
      <w:proofErr w:type="spellStart"/>
      <w:r w:rsidRPr="006B1BE9">
        <w:rPr>
          <w:rFonts w:ascii="Helvetica" w:hAnsi="Helvetica" w:cs="Helvetica"/>
          <w:szCs w:val="24"/>
        </w:rPr>
        <w:t>ekstraląstelinis</w:t>
      </w:r>
      <w:proofErr w:type="spellEnd"/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antigeną surišantis domenas apima pirmąjį VHH domeną ir antrąjį VHH domeną.</w:t>
      </w:r>
    </w:p>
    <w:p w14:paraId="736237D9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49A789E" w14:textId="329F5F88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5. T ląstelių dozė, skirta naudoti pagal bet kurį iš 1-3 punktų, kur pirmasis VHH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domenas apima CDR1, CDR2 ir CDR3, kaip nurodyta VHH domene, apimančiame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aminorūgščių seką SEQ ID Nr. 2, o antrasis VHH domenas apima CDR1, CDR2 ir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CDR3, kaip nurodyta VHH domene, apimančiame aminorūgščių seką SEQ ID Nr. 4.</w:t>
      </w:r>
    </w:p>
    <w:p w14:paraId="5E882C80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6D7B849B" w14:textId="3D01C630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6. T ląstelių dozė, skirta naudoti pagal 4 punktą, kur, pirmasis VHH domenas apima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CDR1, apimančią aminorūgščių seką SEQ ID Nr. 18, CDR2, apimančią aminorūgščių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seką SEQ ID Nr. 19, CDR3, apimančią aminorūgščių seką 20, o antrasis VHH</w:t>
      </w:r>
      <w:r w:rsidR="00A01180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domenas apima CDR1, apimančią aminorūgščių seką SEQ ID Nr. 21, CDR2,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apimančią aminorūgščių seką SEQ ID Nr. 22, ir CDR3, apimančią aminorūgščių seką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SEQ ID Nr. 23.</w:t>
      </w:r>
    </w:p>
    <w:p w14:paraId="4FF9853F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97BD8D2" w14:textId="58CF91E9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7. T ląstelių dozė, skirta naudoti pagal 4 arba 5 punktą kur, pirmasis VHH domenas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apima aminorūgščių seką SEQ ID Nr. 2, o antrasis VHH domenas apima aminorūgščių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seką SEQ ID Nr. 4.</w:t>
      </w:r>
    </w:p>
    <w:p w14:paraId="7EC81B32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2C1BE5A" w14:textId="5064158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8. T ląstelių dozė, skirta naudoti pagal bet kurį iš 4-6 punktų kur, pirmasis VHH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domenas yra antrojo VHH domeno N gale arba pirmasis VHH domenas yra antrojo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VHH domeno C gale.</w:t>
      </w:r>
    </w:p>
    <w:p w14:paraId="6724CE24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DB04408" w14:textId="777777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9. T ląstelių dozė, skirta naudoti pagal bet kurį iš 4-7 punktų, kur:</w:t>
      </w:r>
    </w:p>
    <w:p w14:paraId="74E42E32" w14:textId="0F42CE1E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(a) pirmasis VHH domenas su antruoju VHH domenu yra sujungtas jungtuku,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apimančiu aminorūgščių seką SEQ ID Nr. 3;</w:t>
      </w:r>
    </w:p>
    <w:p w14:paraId="17CC1546" w14:textId="3C742819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(b) </w:t>
      </w:r>
      <w:proofErr w:type="spellStart"/>
      <w:r w:rsidRPr="006B1BE9">
        <w:rPr>
          <w:rFonts w:ascii="Helvetica" w:hAnsi="Helvetica" w:cs="Helvetica"/>
          <w:szCs w:val="24"/>
        </w:rPr>
        <w:t>transmembraninis</w:t>
      </w:r>
      <w:proofErr w:type="spellEnd"/>
      <w:r w:rsidRPr="006B1BE9">
        <w:rPr>
          <w:rFonts w:ascii="Helvetica" w:hAnsi="Helvetica" w:cs="Helvetica"/>
          <w:szCs w:val="24"/>
        </w:rPr>
        <w:t xml:space="preserve"> domenas yra kilęs iš molekulės, parinktos iš grupės,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kurią sudaro CD8α, CD4, CD28, CD137, CD80, CD86, CD152 ir PD1,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pasirinktinai, </w:t>
      </w:r>
      <w:proofErr w:type="spellStart"/>
      <w:r w:rsidRPr="006B1BE9">
        <w:rPr>
          <w:rFonts w:ascii="Helvetica" w:hAnsi="Helvetica" w:cs="Helvetica"/>
          <w:szCs w:val="24"/>
        </w:rPr>
        <w:t>transmembraninis</w:t>
      </w:r>
      <w:proofErr w:type="spellEnd"/>
      <w:r w:rsidRPr="006B1BE9">
        <w:rPr>
          <w:rFonts w:ascii="Helvetica" w:hAnsi="Helvetica" w:cs="Helvetica"/>
          <w:szCs w:val="24"/>
        </w:rPr>
        <w:t xml:space="preserve"> domenas yra kilęs iš CD8α ir apima aminorūgščių seką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SEQ ID Nr. 6;</w:t>
      </w:r>
    </w:p>
    <w:p w14:paraId="427AE2DF" w14:textId="7D248795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lastRenderedPageBreak/>
        <w:t xml:space="preserve">(c) </w:t>
      </w:r>
      <w:proofErr w:type="spellStart"/>
      <w:r w:rsidRPr="006B1BE9">
        <w:rPr>
          <w:rFonts w:ascii="Helvetica" w:hAnsi="Helvetica" w:cs="Helvetica"/>
          <w:szCs w:val="24"/>
        </w:rPr>
        <w:t>viduląstelinis</w:t>
      </w:r>
      <w:proofErr w:type="spellEnd"/>
      <w:r w:rsidRPr="006B1BE9">
        <w:rPr>
          <w:rFonts w:ascii="Helvetica" w:hAnsi="Helvetica" w:cs="Helvetica"/>
          <w:szCs w:val="24"/>
        </w:rPr>
        <w:t xml:space="preserve"> signalinis domenas apima imuninių </w:t>
      </w:r>
      <w:proofErr w:type="spellStart"/>
      <w:r w:rsidRPr="006B1BE9">
        <w:rPr>
          <w:rFonts w:ascii="Helvetica" w:hAnsi="Helvetica" w:cs="Helvetica"/>
          <w:szCs w:val="24"/>
        </w:rPr>
        <w:t>efektinių</w:t>
      </w:r>
      <w:proofErr w:type="spellEnd"/>
      <w:r w:rsidRPr="006B1BE9">
        <w:rPr>
          <w:rFonts w:ascii="Helvetica" w:hAnsi="Helvetica" w:cs="Helvetica"/>
          <w:szCs w:val="24"/>
        </w:rPr>
        <w:t xml:space="preserve"> ląstelių pirminį</w:t>
      </w:r>
      <w:r w:rsidR="00A63DB6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viduląstelinį</w:t>
      </w:r>
      <w:proofErr w:type="spellEnd"/>
      <w:r w:rsidRPr="006B1BE9">
        <w:rPr>
          <w:rFonts w:ascii="Helvetica" w:hAnsi="Helvetica" w:cs="Helvetica"/>
          <w:szCs w:val="24"/>
        </w:rPr>
        <w:t xml:space="preserve"> signalinį domeną, kur, pasirinktinai, pirminis </w:t>
      </w:r>
      <w:proofErr w:type="spellStart"/>
      <w:r w:rsidRPr="006B1BE9">
        <w:rPr>
          <w:rFonts w:ascii="Helvetica" w:hAnsi="Helvetica" w:cs="Helvetica"/>
          <w:szCs w:val="24"/>
        </w:rPr>
        <w:t>viduląstelinis</w:t>
      </w:r>
      <w:proofErr w:type="spellEnd"/>
      <w:r w:rsidRPr="006B1BE9">
        <w:rPr>
          <w:rFonts w:ascii="Helvetica" w:hAnsi="Helvetica" w:cs="Helvetica"/>
          <w:szCs w:val="24"/>
        </w:rPr>
        <w:t xml:space="preserve"> signalinis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domenas yra kilęs iš CD3ζ, apimančios aminorūgščių seką SEQ ID Nr. 8;</w:t>
      </w:r>
    </w:p>
    <w:p w14:paraId="1BAED754" w14:textId="2D695EAA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(d) </w:t>
      </w:r>
      <w:proofErr w:type="spellStart"/>
      <w:r w:rsidRPr="006B1BE9">
        <w:rPr>
          <w:rFonts w:ascii="Helvetica" w:hAnsi="Helvetica" w:cs="Helvetica"/>
          <w:szCs w:val="24"/>
        </w:rPr>
        <w:t>viduląstelinis</w:t>
      </w:r>
      <w:proofErr w:type="spellEnd"/>
      <w:r w:rsidRPr="006B1BE9">
        <w:rPr>
          <w:rFonts w:ascii="Helvetica" w:hAnsi="Helvetica" w:cs="Helvetica"/>
          <w:szCs w:val="24"/>
        </w:rPr>
        <w:t xml:space="preserve"> signalinis domenas apima ko-</w:t>
      </w:r>
      <w:proofErr w:type="spellStart"/>
      <w:r w:rsidRPr="006B1BE9">
        <w:rPr>
          <w:rFonts w:ascii="Helvetica" w:hAnsi="Helvetica" w:cs="Helvetica"/>
          <w:szCs w:val="24"/>
        </w:rPr>
        <w:t>stimuliacinį</w:t>
      </w:r>
      <w:proofErr w:type="spellEnd"/>
      <w:r w:rsidRPr="006B1BE9">
        <w:rPr>
          <w:rFonts w:ascii="Helvetica" w:hAnsi="Helvetica" w:cs="Helvetica"/>
          <w:szCs w:val="24"/>
        </w:rPr>
        <w:t xml:space="preserve"> signalinį domeną,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kur, pasirinktinai, ko-</w:t>
      </w:r>
      <w:proofErr w:type="spellStart"/>
      <w:r w:rsidRPr="006B1BE9">
        <w:rPr>
          <w:rFonts w:ascii="Helvetica" w:hAnsi="Helvetica" w:cs="Helvetica"/>
          <w:szCs w:val="24"/>
        </w:rPr>
        <w:t>stimuliacinis</w:t>
      </w:r>
      <w:proofErr w:type="spellEnd"/>
      <w:r w:rsidRPr="006B1BE9">
        <w:rPr>
          <w:rFonts w:ascii="Helvetica" w:hAnsi="Helvetica" w:cs="Helvetica"/>
          <w:szCs w:val="24"/>
        </w:rPr>
        <w:t xml:space="preserve"> signalinis domenas yra kilęs iš ko-stimuliuojančios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molekulės, pasirinktos iš grupės, kurią sudaro CD27, CD28, CD137, OX40, CD30,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CD40, CD3, LFA-1, ICOS, CD2, CD7, LIGHT, NKG2C, B7-H3, CD83 ligandai ir bet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koks jų derinys, kur, pasirinktinai, </w:t>
      </w:r>
      <w:proofErr w:type="spellStart"/>
      <w:r w:rsidRPr="006B1BE9">
        <w:rPr>
          <w:rFonts w:ascii="Helvetica" w:hAnsi="Helvetica" w:cs="Helvetica"/>
          <w:szCs w:val="24"/>
        </w:rPr>
        <w:t>kostimuliacinis</w:t>
      </w:r>
      <w:proofErr w:type="spellEnd"/>
      <w:r w:rsidRPr="006B1BE9">
        <w:rPr>
          <w:rFonts w:ascii="Helvetica" w:hAnsi="Helvetica" w:cs="Helvetica"/>
          <w:szCs w:val="24"/>
        </w:rPr>
        <w:t xml:space="preserve"> signalinis domenas apima CD137</w:t>
      </w:r>
    </w:p>
    <w:p w14:paraId="1DAADFCA" w14:textId="76BA1E02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6B1BE9">
        <w:rPr>
          <w:rFonts w:ascii="Helvetica" w:hAnsi="Helvetica" w:cs="Helvetica"/>
          <w:szCs w:val="24"/>
        </w:rPr>
        <w:t>citoplazminį</w:t>
      </w:r>
      <w:proofErr w:type="spellEnd"/>
      <w:r w:rsidRPr="006B1BE9">
        <w:rPr>
          <w:rFonts w:ascii="Helvetica" w:hAnsi="Helvetica" w:cs="Helvetica"/>
          <w:szCs w:val="24"/>
        </w:rPr>
        <w:t xml:space="preserve"> domeną, apimantį aminorūgščių seką SEQ ID Nr. 7;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(e) CAR taip pat apima lanksto srities domeną, esantį tarp </w:t>
      </w:r>
      <w:proofErr w:type="spellStart"/>
      <w:r w:rsidRPr="006B1BE9">
        <w:rPr>
          <w:rFonts w:ascii="Helvetica" w:hAnsi="Helvetica" w:cs="Helvetica"/>
          <w:szCs w:val="24"/>
        </w:rPr>
        <w:t>ekstraląstelinio</w:t>
      </w:r>
      <w:proofErr w:type="spellEnd"/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antigeną surišančio domeno C galo ir </w:t>
      </w:r>
      <w:proofErr w:type="spellStart"/>
      <w:r w:rsidRPr="006B1BE9">
        <w:rPr>
          <w:rFonts w:ascii="Helvetica" w:hAnsi="Helvetica" w:cs="Helvetica"/>
          <w:szCs w:val="24"/>
        </w:rPr>
        <w:t>transmembraninio</w:t>
      </w:r>
      <w:proofErr w:type="spellEnd"/>
      <w:r w:rsidRPr="006B1BE9">
        <w:rPr>
          <w:rFonts w:ascii="Helvetica" w:hAnsi="Helvetica" w:cs="Helvetica"/>
          <w:szCs w:val="24"/>
        </w:rPr>
        <w:t xml:space="preserve"> domeno N galo,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pasirinktinai, lanksto srities domenas yra kilęs iš CD8α, apimančio aminorūgščių seką</w:t>
      </w:r>
    </w:p>
    <w:p w14:paraId="3F5811F6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SEQ ID Nr. 5;</w:t>
      </w:r>
    </w:p>
    <w:p w14:paraId="02ED72B8" w14:textId="06266F43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(f) CAR taip pat apima signalinį peptidą, esantį </w:t>
      </w:r>
      <w:proofErr w:type="spellStart"/>
      <w:r w:rsidRPr="006B1BE9">
        <w:rPr>
          <w:rFonts w:ascii="Helvetica" w:hAnsi="Helvetica" w:cs="Helvetica"/>
          <w:szCs w:val="24"/>
        </w:rPr>
        <w:t>polipeptido</w:t>
      </w:r>
      <w:proofErr w:type="spellEnd"/>
      <w:r w:rsidRPr="006B1BE9">
        <w:rPr>
          <w:rFonts w:ascii="Helvetica" w:hAnsi="Helvetica" w:cs="Helvetica"/>
          <w:szCs w:val="24"/>
        </w:rPr>
        <w:t xml:space="preserve"> N galinėje dalyje,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kur, pasirinktinai, signalinis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peptidas yra kilęs iš CD8α, apimančio aminorūgščių seką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SEQ ID Nr. 1; arba</w:t>
      </w:r>
    </w:p>
    <w:p w14:paraId="1824C915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(g) CAR apima aminorūgščių seką SEQ ID Nr. 17.</w:t>
      </w:r>
    </w:p>
    <w:p w14:paraId="004DE98E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5642E54C" w14:textId="777777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10. T ląstelių dozė, skirta naudoti pagal bet kurį iš 1-8 punktų, kur </w:t>
      </w:r>
      <w:proofErr w:type="spellStart"/>
      <w:r w:rsidRPr="006B1BE9">
        <w:rPr>
          <w:rFonts w:ascii="Helvetica" w:hAnsi="Helvetica" w:cs="Helvetica"/>
          <w:szCs w:val="24"/>
        </w:rPr>
        <w:t>IMiD</w:t>
      </w:r>
      <w:proofErr w:type="spellEnd"/>
      <w:r w:rsidRPr="006B1BE9">
        <w:rPr>
          <w:rFonts w:ascii="Helvetica" w:hAnsi="Helvetica" w:cs="Helvetica"/>
          <w:szCs w:val="24"/>
        </w:rPr>
        <w:t xml:space="preserve"> yra</w:t>
      </w:r>
    </w:p>
    <w:p w14:paraId="5F637710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6B1BE9">
        <w:rPr>
          <w:rFonts w:ascii="Helvetica" w:hAnsi="Helvetica" w:cs="Helvetica"/>
          <w:szCs w:val="24"/>
        </w:rPr>
        <w:t>lenalidomidas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1B5BB1AB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5DB9495" w14:textId="777777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11. T ląstelių dozė, skirta naudoti pagal bet kurį iš 1-8 punktų, kur </w:t>
      </w:r>
      <w:proofErr w:type="spellStart"/>
      <w:r w:rsidRPr="006B1BE9">
        <w:rPr>
          <w:rFonts w:ascii="Helvetica" w:hAnsi="Helvetica" w:cs="Helvetica"/>
          <w:szCs w:val="24"/>
        </w:rPr>
        <w:t>IMiD</w:t>
      </w:r>
      <w:proofErr w:type="spellEnd"/>
      <w:r w:rsidRPr="006B1BE9">
        <w:rPr>
          <w:rFonts w:ascii="Helvetica" w:hAnsi="Helvetica" w:cs="Helvetica"/>
          <w:szCs w:val="24"/>
        </w:rPr>
        <w:t xml:space="preserve"> yra</w:t>
      </w:r>
    </w:p>
    <w:p w14:paraId="53DFBD98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proofErr w:type="spellStart"/>
      <w:r w:rsidRPr="006B1BE9">
        <w:rPr>
          <w:rFonts w:ascii="Helvetica" w:hAnsi="Helvetica" w:cs="Helvetica"/>
          <w:szCs w:val="24"/>
        </w:rPr>
        <w:t>pomalidomidas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6717DC34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38B867FF" w14:textId="29DF158E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12. T ląstelių dozė, skirta naudoti pagal bet kurį iš 2-10 punktų, kur subjektui būdingos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dvi, trys, keturios, penkios ar daugiau citogenetinių anomalijų;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 citogenetinė anomalija yra didelės rizikos arba standartinės rizikos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citogenetinė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anomalija.</w:t>
      </w:r>
    </w:p>
    <w:p w14:paraId="3A32CD8A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72D6581" w14:textId="433D165A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13. T ląstelių dozė, skirta naudoti pagal 11 punktą, kur didelės rizikos citogenetinė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anomalija yra </w:t>
      </w:r>
      <w:proofErr w:type="spellStart"/>
      <w:r w:rsidRPr="006B1BE9">
        <w:rPr>
          <w:rFonts w:ascii="Helvetica" w:hAnsi="Helvetica" w:cs="Helvetica"/>
          <w:szCs w:val="24"/>
        </w:rPr>
        <w:t>Gain</w:t>
      </w:r>
      <w:proofErr w:type="spellEnd"/>
      <w:r w:rsidRPr="006B1BE9">
        <w:rPr>
          <w:rFonts w:ascii="Helvetica" w:hAnsi="Helvetica" w:cs="Helvetica"/>
          <w:szCs w:val="24"/>
        </w:rPr>
        <w:t>/</w:t>
      </w:r>
      <w:proofErr w:type="spellStart"/>
      <w:r w:rsidRPr="006B1BE9">
        <w:rPr>
          <w:rFonts w:ascii="Helvetica" w:hAnsi="Helvetica" w:cs="Helvetica"/>
          <w:szCs w:val="24"/>
        </w:rPr>
        <w:t>amp</w:t>
      </w:r>
      <w:proofErr w:type="spellEnd"/>
      <w:r w:rsidRPr="006B1BE9">
        <w:rPr>
          <w:rFonts w:ascii="Helvetica" w:hAnsi="Helvetica" w:cs="Helvetica"/>
          <w:szCs w:val="24"/>
        </w:rPr>
        <w:t xml:space="preserve">(1q), </w:t>
      </w:r>
      <w:proofErr w:type="spellStart"/>
      <w:r w:rsidRPr="006B1BE9">
        <w:rPr>
          <w:rFonts w:ascii="Helvetica" w:hAnsi="Helvetica" w:cs="Helvetica"/>
          <w:szCs w:val="24"/>
        </w:rPr>
        <w:t>del</w:t>
      </w:r>
      <w:proofErr w:type="spellEnd"/>
      <w:r w:rsidRPr="006B1BE9">
        <w:rPr>
          <w:rFonts w:ascii="Helvetica" w:hAnsi="Helvetica" w:cs="Helvetica"/>
          <w:szCs w:val="24"/>
        </w:rPr>
        <w:t>(17p), t(4;14), t(14;16) arba bet koks jų derinys.</w:t>
      </w:r>
    </w:p>
    <w:p w14:paraId="153ED24C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037EA43" w14:textId="1C9FB65F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14. T ląstelių dozė, skirta naudoti pagal bet kurį iš 1-12 punktų, kur viena, dvi ar trys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ankstesnės gydymo eilės taip pat apima gydymą antikūnu prieš CD38,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pasirinktinai, antikūnas prieš CD38 yra </w:t>
      </w:r>
      <w:proofErr w:type="spellStart"/>
      <w:r w:rsidRPr="006B1BE9">
        <w:rPr>
          <w:rFonts w:ascii="Helvetica" w:hAnsi="Helvetica" w:cs="Helvetica"/>
          <w:szCs w:val="24"/>
        </w:rPr>
        <w:t>daratumumabas</w:t>
      </w:r>
      <w:proofErr w:type="spellEnd"/>
      <w:r w:rsidRPr="006B1BE9">
        <w:rPr>
          <w:rFonts w:ascii="Helvetica" w:hAnsi="Helvetica" w:cs="Helvetica"/>
          <w:szCs w:val="24"/>
        </w:rPr>
        <w:t xml:space="preserve"> ir (arba) </w:t>
      </w:r>
      <w:proofErr w:type="spellStart"/>
      <w:r w:rsidRPr="006B1BE9">
        <w:rPr>
          <w:rFonts w:ascii="Helvetica" w:hAnsi="Helvetica" w:cs="Helvetica"/>
          <w:szCs w:val="24"/>
        </w:rPr>
        <w:t>isatuksimabas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45FB9F1E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ABE3157" w14:textId="539B7754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15. T ląstelių dozė, skirta naudoti pagal bet kurį iš 1-13 punktų, kur viena, dvi ar trys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ankstesnės gydymo eilės apima gydymą </w:t>
      </w:r>
      <w:proofErr w:type="spellStart"/>
      <w:r w:rsidRPr="006B1BE9">
        <w:rPr>
          <w:rFonts w:ascii="Helvetica" w:hAnsi="Helvetica" w:cs="Helvetica"/>
          <w:szCs w:val="24"/>
        </w:rPr>
        <w:t>proteasomos</w:t>
      </w:r>
      <w:proofErr w:type="spellEnd"/>
      <w:r w:rsidRPr="006B1BE9">
        <w:rPr>
          <w:rFonts w:ascii="Helvetica" w:hAnsi="Helvetica" w:cs="Helvetica"/>
          <w:szCs w:val="24"/>
        </w:rPr>
        <w:t xml:space="preserve"> inhibitoriumi, kur </w:t>
      </w:r>
      <w:proofErr w:type="spellStart"/>
      <w:r w:rsidRPr="006B1BE9">
        <w:rPr>
          <w:rFonts w:ascii="Helvetica" w:hAnsi="Helvetica" w:cs="Helvetica"/>
          <w:szCs w:val="24"/>
        </w:rPr>
        <w:t>proteasomos</w:t>
      </w:r>
      <w:proofErr w:type="spellEnd"/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inhibitorius yra </w:t>
      </w:r>
      <w:proofErr w:type="spellStart"/>
      <w:r w:rsidRPr="006B1BE9">
        <w:rPr>
          <w:rFonts w:ascii="Helvetica" w:hAnsi="Helvetica" w:cs="Helvetica"/>
          <w:szCs w:val="24"/>
        </w:rPr>
        <w:t>bortezomibas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karfilzomibas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iksazomibas</w:t>
      </w:r>
      <w:proofErr w:type="spellEnd"/>
      <w:r w:rsidRPr="006B1BE9">
        <w:rPr>
          <w:rFonts w:ascii="Helvetica" w:hAnsi="Helvetica" w:cs="Helvetica"/>
          <w:szCs w:val="24"/>
        </w:rPr>
        <w:t xml:space="preserve"> arba bet koks jų derinys.</w:t>
      </w:r>
    </w:p>
    <w:p w14:paraId="5C170C38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08B1960" w14:textId="4CAD5B78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16. T ląstelių dozė, skirta naudoti pagal bet kurį iš 1-14 punktų, kur subjektui papildomai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taikoma tarpinė terapija, kur, pasirinktinai, tarpinė terapija yra pasirenkama gydytojo,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kur tarpinė terapija apima </w:t>
      </w:r>
      <w:proofErr w:type="spellStart"/>
      <w:r w:rsidRPr="006B1BE9">
        <w:rPr>
          <w:rFonts w:ascii="Helvetica" w:hAnsi="Helvetica" w:cs="Helvetica"/>
          <w:szCs w:val="24"/>
        </w:rPr>
        <w:t>pomalidomidą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bortezomibą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deksametazoną</w:t>
      </w:r>
      <w:proofErr w:type="spellEnd"/>
      <w:r w:rsidRPr="006B1BE9">
        <w:rPr>
          <w:rFonts w:ascii="Helvetica" w:hAnsi="Helvetica" w:cs="Helvetica"/>
          <w:szCs w:val="24"/>
        </w:rPr>
        <w:t>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daratumumabą</w:t>
      </w:r>
      <w:proofErr w:type="spellEnd"/>
      <w:r w:rsidRPr="006B1BE9">
        <w:rPr>
          <w:rFonts w:ascii="Helvetica" w:hAnsi="Helvetica" w:cs="Helvetica"/>
          <w:szCs w:val="24"/>
        </w:rPr>
        <w:t xml:space="preserve"> arba bet kokį jų derinį, kur, pasirinktinai, subjektui tarpinis terapinis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gydymas taikyta nuo maždaug kas 20 dienų iki maždaug kas 30 dienų ir (arba)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pasirinktinai, subjektui taikytos bent viena, dvi, trys, keturios ar daugiau tarpinių</w:t>
      </w:r>
      <w:r w:rsidR="00A63DB6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terapijų</w:t>
      </w:r>
      <w:proofErr w:type="spellEnd"/>
      <w:r w:rsidRPr="006B1BE9">
        <w:rPr>
          <w:rFonts w:ascii="Helvetica" w:hAnsi="Helvetica" w:cs="Helvetica"/>
          <w:szCs w:val="24"/>
        </w:rPr>
        <w:t>,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 subjektui taip pat buvo taikoma limfocitų kiekį mažinanti terapija,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pasirinktinai, limfocitų kiekį mažinanti terapija apima </w:t>
      </w:r>
      <w:proofErr w:type="spellStart"/>
      <w:r w:rsidRPr="006B1BE9">
        <w:rPr>
          <w:rFonts w:ascii="Helvetica" w:hAnsi="Helvetica" w:cs="Helvetica"/>
          <w:szCs w:val="24"/>
        </w:rPr>
        <w:t>ciklofosfamido</w:t>
      </w:r>
      <w:proofErr w:type="spellEnd"/>
      <w:r w:rsidRPr="006B1BE9">
        <w:rPr>
          <w:rFonts w:ascii="Helvetica" w:hAnsi="Helvetica" w:cs="Helvetica"/>
          <w:szCs w:val="24"/>
        </w:rPr>
        <w:t xml:space="preserve">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fludarabino</w:t>
      </w:r>
      <w:proofErr w:type="spellEnd"/>
      <w:r w:rsidRPr="006B1BE9">
        <w:rPr>
          <w:rFonts w:ascii="Helvetica" w:hAnsi="Helvetica" w:cs="Helvetica"/>
          <w:szCs w:val="24"/>
        </w:rPr>
        <w:t xml:space="preserve"> kasdienį vartojimą,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kur, pasirinktinai, limfocitų kiekį mažinanti terapija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apima </w:t>
      </w:r>
      <w:proofErr w:type="spellStart"/>
      <w:r w:rsidRPr="006B1BE9">
        <w:rPr>
          <w:rFonts w:ascii="Helvetica" w:hAnsi="Helvetica" w:cs="Helvetica"/>
          <w:szCs w:val="24"/>
        </w:rPr>
        <w:t>ciklofosfamido</w:t>
      </w:r>
      <w:proofErr w:type="spellEnd"/>
      <w:r w:rsidRPr="006B1BE9">
        <w:rPr>
          <w:rFonts w:ascii="Helvetica" w:hAnsi="Helvetica" w:cs="Helvetica"/>
          <w:szCs w:val="24"/>
        </w:rPr>
        <w:t xml:space="preserve"> ir </w:t>
      </w:r>
      <w:proofErr w:type="spellStart"/>
      <w:r w:rsidRPr="006B1BE9">
        <w:rPr>
          <w:rFonts w:ascii="Helvetica" w:hAnsi="Helvetica" w:cs="Helvetica"/>
          <w:szCs w:val="24"/>
        </w:rPr>
        <w:t>fludarabino</w:t>
      </w:r>
      <w:proofErr w:type="spellEnd"/>
      <w:r w:rsidRPr="006B1BE9">
        <w:rPr>
          <w:rFonts w:ascii="Helvetica" w:hAnsi="Helvetica" w:cs="Helvetica"/>
          <w:szCs w:val="24"/>
        </w:rPr>
        <w:t xml:space="preserve"> kasdienį vartojimą ir (arba) kur, pasirinktinai,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limfocitų </w:t>
      </w:r>
      <w:r w:rsidRPr="006B1BE9">
        <w:rPr>
          <w:rFonts w:ascii="Helvetica" w:hAnsi="Helvetica" w:cs="Helvetica"/>
          <w:szCs w:val="24"/>
        </w:rPr>
        <w:lastRenderedPageBreak/>
        <w:t xml:space="preserve">kiekį mažinanti terapija apima </w:t>
      </w:r>
      <w:proofErr w:type="spellStart"/>
      <w:r w:rsidRPr="006B1BE9">
        <w:rPr>
          <w:rFonts w:ascii="Helvetica" w:hAnsi="Helvetica" w:cs="Helvetica"/>
          <w:szCs w:val="24"/>
        </w:rPr>
        <w:t>ciklofosfamido</w:t>
      </w:r>
      <w:proofErr w:type="spellEnd"/>
      <w:r w:rsidRPr="006B1BE9">
        <w:rPr>
          <w:rFonts w:ascii="Helvetica" w:hAnsi="Helvetica" w:cs="Helvetica"/>
          <w:szCs w:val="24"/>
        </w:rPr>
        <w:t>, kurio koncentracija yra apie 300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mg/m2, ir </w:t>
      </w:r>
      <w:proofErr w:type="spellStart"/>
      <w:r w:rsidRPr="006B1BE9">
        <w:rPr>
          <w:rFonts w:ascii="Helvetica" w:hAnsi="Helvetica" w:cs="Helvetica"/>
          <w:szCs w:val="24"/>
        </w:rPr>
        <w:t>fludarabino</w:t>
      </w:r>
      <w:proofErr w:type="spellEnd"/>
      <w:r w:rsidRPr="006B1BE9">
        <w:rPr>
          <w:rFonts w:ascii="Helvetica" w:hAnsi="Helvetica" w:cs="Helvetica"/>
          <w:szCs w:val="24"/>
        </w:rPr>
        <w:t>, kurio koncentracija yra apie 30 mg/m2, vartojimą kasdien, 3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dienų laikotarpiu.</w:t>
      </w:r>
    </w:p>
    <w:p w14:paraId="5F69A971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22E2EBC6" w14:textId="77777777" w:rsidR="00A63DB6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17. T ląstelių dozė, skirta naudoti pagal bet kurį iš 1-15 punktų, kur T ląstelių dozė yra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0,5-1,0 × 106 ląstelių/kg subjekto kūno svorio, kur, pasirinktinai, T ląstelių dozė yra apie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0,75 × 106 ląstelių/kg subjekto kūno svorio;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</w:p>
    <w:p w14:paraId="05C2BC42" w14:textId="77777777" w:rsidR="00A63DB6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 būdas apima T ląstelių dozės skyrimą praėjus maždaug 5-7 dienoms nuo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limfocitų kiekį mažinančios terapijos pradžios;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</w:p>
    <w:p w14:paraId="59B9BE78" w14:textId="77777777" w:rsidR="00A63DB6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 dozė skiriama kaip vienkartinė infuzija; ir (arba)</w:t>
      </w:r>
      <w:r w:rsidR="00A63DB6" w:rsidRPr="006B1BE9">
        <w:rPr>
          <w:rFonts w:ascii="Helvetica" w:hAnsi="Helvetica" w:cs="Helvetica"/>
          <w:szCs w:val="24"/>
        </w:rPr>
        <w:t xml:space="preserve"> </w:t>
      </w:r>
    </w:p>
    <w:p w14:paraId="1CDAD1DD" w14:textId="1ABCD811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 T ląstelių dozė yra suformuluota kompozicijoje, apimančioje 5 %</w:t>
      </w:r>
      <w:r w:rsidR="00A63DB6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dimetilsulfoksido</w:t>
      </w:r>
      <w:proofErr w:type="spellEnd"/>
      <w:r w:rsidRPr="006B1BE9">
        <w:rPr>
          <w:rFonts w:ascii="Helvetica" w:hAnsi="Helvetica" w:cs="Helvetica"/>
          <w:szCs w:val="24"/>
        </w:rPr>
        <w:t xml:space="preserve"> (DMSO).</w:t>
      </w:r>
    </w:p>
    <w:p w14:paraId="66C9AEB3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1B1D3BE" w14:textId="777777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18. T ląstelių dozė, skirta naudoti pagal bet kurį iš 1-16 punktų, kur:</w:t>
      </w:r>
    </w:p>
    <w:p w14:paraId="57FFF016" w14:textId="4E8BC6E4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(a) CD3+ ląstelių, apimančių CAR, koncentracija subjekto kraujyje pasiekia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maksimumą praėjus vidutiniškai maždaug 13 dienų po T ląstelių paskyrimo subjektui,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kur, pasirinktinai, CD3+ ląstelių, apimančių CAR, koncentracija subjekto kraujyje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pasiekia maksimumą, kai vidutinė koncentracija yra maždaug 1523 ląstelės/</w:t>
      </w:r>
      <w:proofErr w:type="spellStart"/>
      <w:r w:rsidRPr="006B1BE9">
        <w:rPr>
          <w:rFonts w:ascii="Helvetica" w:hAnsi="Helvetica" w:cs="Helvetica"/>
          <w:szCs w:val="24"/>
        </w:rPr>
        <w:t>μL</w:t>
      </w:r>
      <w:proofErr w:type="spellEnd"/>
      <w:r w:rsidRPr="006B1BE9">
        <w:rPr>
          <w:rFonts w:ascii="Helvetica" w:hAnsi="Helvetica" w:cs="Helvetica"/>
          <w:szCs w:val="24"/>
        </w:rPr>
        <w:t>;</w:t>
      </w:r>
    </w:p>
    <w:p w14:paraId="6494DF6F" w14:textId="0F6782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(b) CD3+ ląstelės, apimančios CAR, subjekto kraujyje išlieka aptinkamos nuo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maždaug 13 dienų iki maždaug 631 dienos po T ląstelių skyrimo subjektui, kur,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pasirinktinai, CD3+ ląstelės, apimančios CAR, subjekto kraujyje išlieka aptinkamos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praėjus vidutiniškai maždaug 57 dienoms po T ląstelių skyrimo subjektui; arba</w:t>
      </w:r>
    </w:p>
    <w:p w14:paraId="18E5125A" w14:textId="7DCE3582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(c) CD3+ ląstelių, apimančių CAR, AUC0-28 subjekto kraujyje vidutinė vertė</w:t>
      </w:r>
      <w:r w:rsidR="00A63DB6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yra apie 12504 ląstelių/</w:t>
      </w:r>
      <w:proofErr w:type="spellStart"/>
      <w:r w:rsidRPr="006B1BE9">
        <w:rPr>
          <w:rFonts w:ascii="Helvetica" w:hAnsi="Helvetica" w:cs="Helvetica"/>
          <w:szCs w:val="24"/>
        </w:rPr>
        <w:t>μL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4C55FDA0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020DF811" w14:textId="2B9C6E71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19. T ląstelių dozė, skirta naudoti pagal bet kurį iš 1-17 punktų, kur būdas taip pat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apima subjekto gydymą dėl nepageidaujamo reiškinio po T ląstelių dozes įvedimo, kur,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pasirinktinai, būdas apima gydymo, skirto nepageidaujamam reiškiniui sušvelninti,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paskyrimą,</w:t>
      </w:r>
    </w:p>
    <w:p w14:paraId="18A53ACD" w14:textId="1B1D2266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kur, pasirinktinai, nepageidaujamas reiškinys apima hematologinį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nepageidaujamą reiškinį, nehematologinį nepageidaujamą reiškinį, su gydymu susijusį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nepageidaujamą reiškinį arba bet kokį jų derinį, kur, pasirinktinai, nehematologinis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nepageidaujamas reiškinys apima infekciją ir (arba) nehematologinį nepageidaujamą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reiškinį, išskyrus infekciją,</w:t>
      </w:r>
    </w:p>
    <w:p w14:paraId="57E6A29B" w14:textId="4BCD1288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be to, kur, pasirinktinai, nepageidaujamas reiškinys apima </w:t>
      </w:r>
      <w:proofErr w:type="spellStart"/>
      <w:r w:rsidRPr="006B1BE9">
        <w:rPr>
          <w:rFonts w:ascii="Helvetica" w:hAnsi="Helvetica" w:cs="Helvetica"/>
          <w:szCs w:val="24"/>
        </w:rPr>
        <w:t>neutropeniją</w:t>
      </w:r>
      <w:proofErr w:type="spellEnd"/>
      <w:r w:rsidRPr="006B1BE9">
        <w:rPr>
          <w:rFonts w:ascii="Helvetica" w:hAnsi="Helvetica" w:cs="Helvetica"/>
          <w:szCs w:val="24"/>
        </w:rPr>
        <w:t>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trombocitopeniją</w:t>
      </w:r>
      <w:proofErr w:type="spellEnd"/>
      <w:r w:rsidRPr="006B1BE9">
        <w:rPr>
          <w:rFonts w:ascii="Helvetica" w:hAnsi="Helvetica" w:cs="Helvetica"/>
          <w:szCs w:val="24"/>
        </w:rPr>
        <w:t xml:space="preserve">, anemiją, </w:t>
      </w:r>
      <w:proofErr w:type="spellStart"/>
      <w:r w:rsidRPr="006B1BE9">
        <w:rPr>
          <w:rFonts w:ascii="Helvetica" w:hAnsi="Helvetica" w:cs="Helvetica"/>
          <w:szCs w:val="24"/>
        </w:rPr>
        <w:t>limfopeniją</w:t>
      </w:r>
      <w:proofErr w:type="spellEnd"/>
      <w:r w:rsidRPr="006B1BE9">
        <w:rPr>
          <w:rFonts w:ascii="Helvetica" w:hAnsi="Helvetica" w:cs="Helvetica"/>
          <w:szCs w:val="24"/>
        </w:rPr>
        <w:t>, viršutinių kvėpavimo takų infekciją,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nazofaringitą</w:t>
      </w:r>
      <w:proofErr w:type="spellEnd"/>
      <w:r w:rsidRPr="006B1BE9">
        <w:rPr>
          <w:rFonts w:ascii="Helvetica" w:hAnsi="Helvetica" w:cs="Helvetica"/>
          <w:szCs w:val="24"/>
        </w:rPr>
        <w:t xml:space="preserve">, sinusitą, rinitą, </w:t>
      </w:r>
      <w:proofErr w:type="spellStart"/>
      <w:r w:rsidRPr="006B1BE9">
        <w:rPr>
          <w:rFonts w:ascii="Helvetica" w:hAnsi="Helvetica" w:cs="Helvetica"/>
          <w:szCs w:val="24"/>
        </w:rPr>
        <w:t>tonzilitą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faringitą</w:t>
      </w:r>
      <w:proofErr w:type="spellEnd"/>
      <w:r w:rsidRPr="006B1BE9">
        <w:rPr>
          <w:rFonts w:ascii="Helvetica" w:hAnsi="Helvetica" w:cs="Helvetica"/>
          <w:szCs w:val="24"/>
        </w:rPr>
        <w:t xml:space="preserve">, laringitą, </w:t>
      </w:r>
      <w:proofErr w:type="spellStart"/>
      <w:r w:rsidRPr="006B1BE9">
        <w:rPr>
          <w:rFonts w:ascii="Helvetica" w:hAnsi="Helvetica" w:cs="Helvetica"/>
          <w:szCs w:val="24"/>
        </w:rPr>
        <w:t>faringotonzilitą</w:t>
      </w:r>
      <w:proofErr w:type="spellEnd"/>
      <w:r w:rsidRPr="006B1BE9">
        <w:rPr>
          <w:rFonts w:ascii="Helvetica" w:hAnsi="Helvetica" w:cs="Helvetica"/>
          <w:szCs w:val="24"/>
        </w:rPr>
        <w:t>, COVID-19,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COVID-19 pneumoniją, </w:t>
      </w:r>
      <w:proofErr w:type="spellStart"/>
      <w:r w:rsidRPr="006B1BE9">
        <w:rPr>
          <w:rFonts w:ascii="Helvetica" w:hAnsi="Helvetica" w:cs="Helvetica"/>
          <w:szCs w:val="24"/>
        </w:rPr>
        <w:t>besimptomę</w:t>
      </w:r>
      <w:proofErr w:type="spellEnd"/>
      <w:r w:rsidRPr="006B1BE9">
        <w:rPr>
          <w:rFonts w:ascii="Helvetica" w:hAnsi="Helvetica" w:cs="Helvetica"/>
          <w:szCs w:val="24"/>
        </w:rPr>
        <w:t xml:space="preserve"> COVID-19, </w:t>
      </w:r>
      <w:proofErr w:type="spellStart"/>
      <w:r w:rsidRPr="006B1BE9">
        <w:rPr>
          <w:rFonts w:ascii="Helvetica" w:hAnsi="Helvetica" w:cs="Helvetica"/>
          <w:szCs w:val="24"/>
        </w:rPr>
        <w:t>neutropeninį</w:t>
      </w:r>
      <w:proofErr w:type="spellEnd"/>
      <w:r w:rsidRPr="006B1BE9">
        <w:rPr>
          <w:rFonts w:ascii="Helvetica" w:hAnsi="Helvetica" w:cs="Helvetica"/>
          <w:szCs w:val="24"/>
        </w:rPr>
        <w:t xml:space="preserve"> sepsį, progresuojančią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daugiažidininę</w:t>
      </w:r>
      <w:proofErr w:type="spellEnd"/>
      <w:r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leukoencefalopatiją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sepsinį</w:t>
      </w:r>
      <w:proofErr w:type="spellEnd"/>
      <w:r w:rsidRPr="006B1BE9">
        <w:rPr>
          <w:rFonts w:ascii="Helvetica" w:hAnsi="Helvetica" w:cs="Helvetica"/>
          <w:szCs w:val="24"/>
        </w:rPr>
        <w:t xml:space="preserve"> šoką, kvėpavimo nepakankamumą,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plaučių emboliją, apatinių kvėpavimo takų/plaučių infekciją, pneumoniją, bronchitą,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pykinimą, </w:t>
      </w:r>
      <w:proofErr w:type="spellStart"/>
      <w:r w:rsidRPr="006B1BE9">
        <w:rPr>
          <w:rFonts w:ascii="Helvetica" w:hAnsi="Helvetica" w:cs="Helvetica"/>
          <w:szCs w:val="24"/>
        </w:rPr>
        <w:t>hipogamaglobulinemiją</w:t>
      </w:r>
      <w:proofErr w:type="spellEnd"/>
      <w:r w:rsidRPr="006B1BE9">
        <w:rPr>
          <w:rFonts w:ascii="Helvetica" w:hAnsi="Helvetica" w:cs="Helvetica"/>
          <w:szCs w:val="24"/>
        </w:rPr>
        <w:t>, viduriavimą, nuovargį, galvos skausmą, vidurių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užkietėjimą, </w:t>
      </w:r>
      <w:proofErr w:type="spellStart"/>
      <w:r w:rsidRPr="006B1BE9">
        <w:rPr>
          <w:rFonts w:ascii="Helvetica" w:hAnsi="Helvetica" w:cs="Helvetica"/>
          <w:szCs w:val="24"/>
        </w:rPr>
        <w:t>hipokalemiją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asteniją</w:t>
      </w:r>
      <w:proofErr w:type="spellEnd"/>
      <w:r w:rsidRPr="006B1BE9">
        <w:rPr>
          <w:rFonts w:ascii="Helvetica" w:hAnsi="Helvetica" w:cs="Helvetica"/>
          <w:szCs w:val="24"/>
        </w:rPr>
        <w:t>, periferinę edemą, sumažėjusį apetitą, periferinę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sensorinę neuropatiją, nugaros skausmus, </w:t>
      </w:r>
      <w:proofErr w:type="spellStart"/>
      <w:r w:rsidRPr="006B1BE9">
        <w:rPr>
          <w:rFonts w:ascii="Helvetica" w:hAnsi="Helvetica" w:cs="Helvetica"/>
          <w:szCs w:val="24"/>
        </w:rPr>
        <w:t>artralgiją</w:t>
      </w:r>
      <w:proofErr w:type="spellEnd"/>
      <w:r w:rsidRPr="006B1BE9">
        <w:rPr>
          <w:rFonts w:ascii="Helvetica" w:hAnsi="Helvetica" w:cs="Helvetica"/>
          <w:szCs w:val="24"/>
        </w:rPr>
        <w:t xml:space="preserve">, </w:t>
      </w:r>
      <w:proofErr w:type="spellStart"/>
      <w:r w:rsidRPr="006B1BE9">
        <w:rPr>
          <w:rFonts w:ascii="Helvetica" w:hAnsi="Helvetica" w:cs="Helvetica"/>
          <w:szCs w:val="24"/>
        </w:rPr>
        <w:t>pireksiją</w:t>
      </w:r>
      <w:proofErr w:type="spellEnd"/>
      <w:r w:rsidRPr="006B1BE9">
        <w:rPr>
          <w:rFonts w:ascii="Helvetica" w:hAnsi="Helvetica" w:cs="Helvetica"/>
          <w:szCs w:val="24"/>
        </w:rPr>
        <w:t>, dusulį, nemigą arba bet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kokį jų derinį,</w:t>
      </w:r>
    </w:p>
    <w:p w14:paraId="7C309E51" w14:textId="3BB6A4E4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be to, kur, pasirinktinai, nepageidaujamas reiškinys yra 3/4 laipsnio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nepageidaujamas reiškinys, ir</w:t>
      </w:r>
    </w:p>
    <w:p w14:paraId="74035CFF" w14:textId="07C152AA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be to, kur, pasirinktinai, nepageidaujamas reiškinys trunka ilgiau nei 30 arba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60 dienų;</w:t>
      </w:r>
    </w:p>
    <w:p w14:paraId="40139128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ir (arba)</w:t>
      </w:r>
    </w:p>
    <w:p w14:paraId="1CE8DBD7" w14:textId="366648E1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 būdas taip pat apima subjekto gydymą nuo antrojo pirminio piktybinio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naviko po T ląstelių dozės paskyrimo, kur, pasirinktinai, būdas apima gydymą, skirtą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būklės dėl antrojo pirminio piktybinio naviko palengvinimui,</w:t>
      </w:r>
    </w:p>
    <w:p w14:paraId="57918264" w14:textId="030AFDF8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lastRenderedPageBreak/>
        <w:t>kur, pasirinktinai, antrasis pirminis piktybinis navikas apima odos ir (arba)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neinvazinį piktybinį naviką, hematologinį piktybinį naviką, ne odos ir (arba) invazinį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piktybinį naviką arba bet kokį jų derinį,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taip pat, kur, pasirinktinai, antrasis pirminis piktybinis navikas apima </w:t>
      </w:r>
      <w:proofErr w:type="spellStart"/>
      <w:r w:rsidRPr="006B1BE9">
        <w:rPr>
          <w:rFonts w:ascii="Helvetica" w:hAnsi="Helvetica" w:cs="Helvetica"/>
          <w:szCs w:val="24"/>
        </w:rPr>
        <w:t>bazalinių</w:t>
      </w:r>
      <w:proofErr w:type="spellEnd"/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ląstelių karcinomą, </w:t>
      </w:r>
      <w:proofErr w:type="spellStart"/>
      <w:r w:rsidRPr="006B1BE9">
        <w:rPr>
          <w:rFonts w:ascii="Helvetica" w:hAnsi="Helvetica" w:cs="Helvetica"/>
          <w:szCs w:val="24"/>
        </w:rPr>
        <w:t>Boveno</w:t>
      </w:r>
      <w:proofErr w:type="spellEnd"/>
      <w:r w:rsidRPr="006B1BE9">
        <w:rPr>
          <w:rFonts w:ascii="Helvetica" w:hAnsi="Helvetica" w:cs="Helvetica"/>
          <w:szCs w:val="24"/>
        </w:rPr>
        <w:t xml:space="preserve"> ligą, lūpų </w:t>
      </w:r>
      <w:proofErr w:type="spellStart"/>
      <w:r w:rsidRPr="006B1BE9">
        <w:rPr>
          <w:rFonts w:ascii="Helvetica" w:hAnsi="Helvetica" w:cs="Helvetica"/>
          <w:szCs w:val="24"/>
        </w:rPr>
        <w:t>plokščialąstelinę</w:t>
      </w:r>
      <w:proofErr w:type="spellEnd"/>
      <w:r w:rsidRPr="006B1BE9">
        <w:rPr>
          <w:rFonts w:ascii="Helvetica" w:hAnsi="Helvetica" w:cs="Helvetica"/>
          <w:szCs w:val="24"/>
        </w:rPr>
        <w:t xml:space="preserve"> karcinomą, piktybinę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melanomą, piktybinę melanomą </w:t>
      </w:r>
      <w:proofErr w:type="spellStart"/>
      <w:r w:rsidRPr="006B1BE9">
        <w:rPr>
          <w:rFonts w:ascii="Helvetica" w:hAnsi="Helvetica" w:cs="Helvetica"/>
          <w:szCs w:val="24"/>
        </w:rPr>
        <w:t>in</w:t>
      </w:r>
      <w:proofErr w:type="spellEnd"/>
      <w:r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situ</w:t>
      </w:r>
      <w:proofErr w:type="spellEnd"/>
      <w:r w:rsidRPr="006B1BE9">
        <w:rPr>
          <w:rFonts w:ascii="Helvetica" w:hAnsi="Helvetica" w:cs="Helvetica"/>
          <w:szCs w:val="24"/>
        </w:rPr>
        <w:t xml:space="preserve">, odos </w:t>
      </w:r>
      <w:proofErr w:type="spellStart"/>
      <w:r w:rsidRPr="006B1BE9">
        <w:rPr>
          <w:rFonts w:ascii="Helvetica" w:hAnsi="Helvetica" w:cs="Helvetica"/>
          <w:szCs w:val="24"/>
        </w:rPr>
        <w:t>plokščialąstelinę</w:t>
      </w:r>
      <w:proofErr w:type="spellEnd"/>
      <w:r w:rsidRPr="006B1BE9">
        <w:rPr>
          <w:rFonts w:ascii="Helvetica" w:hAnsi="Helvetica" w:cs="Helvetica"/>
          <w:szCs w:val="24"/>
        </w:rPr>
        <w:t xml:space="preserve"> karcinomą, ūminę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mieloidinę</w:t>
      </w:r>
      <w:proofErr w:type="spellEnd"/>
      <w:r w:rsidRPr="006B1BE9">
        <w:rPr>
          <w:rFonts w:ascii="Helvetica" w:hAnsi="Helvetica" w:cs="Helvetica"/>
          <w:szCs w:val="24"/>
        </w:rPr>
        <w:t xml:space="preserve"> leukemiją, </w:t>
      </w:r>
      <w:proofErr w:type="spellStart"/>
      <w:r w:rsidRPr="006B1BE9">
        <w:rPr>
          <w:rFonts w:ascii="Helvetica" w:hAnsi="Helvetica" w:cs="Helvetica"/>
          <w:szCs w:val="24"/>
        </w:rPr>
        <w:t>mielodisplazinį</w:t>
      </w:r>
      <w:proofErr w:type="spellEnd"/>
      <w:r w:rsidRPr="006B1BE9">
        <w:rPr>
          <w:rFonts w:ascii="Helvetica" w:hAnsi="Helvetica" w:cs="Helvetica"/>
          <w:szCs w:val="24"/>
        </w:rPr>
        <w:t xml:space="preserve"> sindromą, periferinę T ląstelių limfomą,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angiosarkomą</w:t>
      </w:r>
      <w:proofErr w:type="spellEnd"/>
      <w:r w:rsidRPr="006B1BE9">
        <w:rPr>
          <w:rFonts w:ascii="Helvetica" w:hAnsi="Helvetica" w:cs="Helvetica"/>
          <w:szCs w:val="24"/>
        </w:rPr>
        <w:t xml:space="preserve">, invazinę </w:t>
      </w:r>
      <w:proofErr w:type="spellStart"/>
      <w:r w:rsidRPr="006B1BE9">
        <w:rPr>
          <w:rFonts w:ascii="Helvetica" w:hAnsi="Helvetica" w:cs="Helvetica"/>
          <w:szCs w:val="24"/>
        </w:rPr>
        <w:t>lobulinę</w:t>
      </w:r>
      <w:proofErr w:type="spellEnd"/>
      <w:r w:rsidRPr="006B1BE9">
        <w:rPr>
          <w:rFonts w:ascii="Helvetica" w:hAnsi="Helvetica" w:cs="Helvetica"/>
          <w:szCs w:val="24"/>
        </w:rPr>
        <w:t xml:space="preserve"> krūties karcinomą, </w:t>
      </w:r>
      <w:proofErr w:type="spellStart"/>
      <w:r w:rsidRPr="006B1BE9">
        <w:rPr>
          <w:rFonts w:ascii="Helvetica" w:hAnsi="Helvetica" w:cs="Helvetica"/>
          <w:szCs w:val="24"/>
        </w:rPr>
        <w:t>pleomorfinę</w:t>
      </w:r>
      <w:proofErr w:type="spellEnd"/>
      <w:r w:rsidRPr="006B1BE9">
        <w:rPr>
          <w:rFonts w:ascii="Helvetica" w:hAnsi="Helvetica" w:cs="Helvetica"/>
          <w:szCs w:val="24"/>
        </w:rPr>
        <w:t xml:space="preserve"> piktybinę </w:t>
      </w:r>
      <w:proofErr w:type="spellStart"/>
      <w:r w:rsidRPr="006B1BE9">
        <w:rPr>
          <w:rFonts w:ascii="Helvetica" w:hAnsi="Helvetica" w:cs="Helvetica"/>
          <w:szCs w:val="24"/>
        </w:rPr>
        <w:t>fibrozinę</w:t>
      </w:r>
      <w:proofErr w:type="spellEnd"/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histiocitomą</w:t>
      </w:r>
      <w:proofErr w:type="spellEnd"/>
      <w:r w:rsidRPr="006B1BE9">
        <w:rPr>
          <w:rFonts w:ascii="Helvetica" w:hAnsi="Helvetica" w:cs="Helvetica"/>
          <w:szCs w:val="24"/>
        </w:rPr>
        <w:t>, inkstų ląstelių karcinomą, tonzilių vėžį arba bet kokį jų derinį;</w:t>
      </w:r>
    </w:p>
    <w:p w14:paraId="133B5EC4" w14:textId="4B5B33F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kur, pasirinktinai, nepageidaujamas reiškinys arba antrasis pirminis piktybinis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navikas subjektui pasireiškia tokiu pat dažnumu kaip ir toks pat nepageidaujamas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reiškinys arba toks pat antrasis pirminis piktybinis navikas subjektui, kuriam taikoma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standartinė gydymo schema.</w:t>
      </w:r>
    </w:p>
    <w:p w14:paraId="1C7EE96C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774BDC15" w14:textId="6D55DADB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20. T ląstelių dozė, skirta naudoti pagal bet kurį iš 1-18 punktų, kur būdas taip pat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apima subjekto gydymą dėl su CAR-T susijusio nepageidaujamo reiškinio po T ląstelių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dozės įvedimo,</w:t>
      </w:r>
    </w:p>
    <w:p w14:paraId="0F722F93" w14:textId="51B9B92B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kur, pasirinktinai, būdas apima gydymo skyrimą subjektui, siekiant sušvelninti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su CAR-T susijusį nepageidaujamą reiškinį,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kai su CAR-T susijęs nepageidaujamas reiškinys apima </w:t>
      </w:r>
      <w:proofErr w:type="spellStart"/>
      <w:r w:rsidRPr="006B1BE9">
        <w:rPr>
          <w:rFonts w:ascii="Helvetica" w:hAnsi="Helvetica" w:cs="Helvetica"/>
          <w:szCs w:val="24"/>
        </w:rPr>
        <w:t>citokinų</w:t>
      </w:r>
      <w:proofErr w:type="spellEnd"/>
      <w:r w:rsidRPr="006B1BE9">
        <w:rPr>
          <w:rFonts w:ascii="Helvetica" w:hAnsi="Helvetica" w:cs="Helvetica"/>
          <w:szCs w:val="24"/>
        </w:rPr>
        <w:t xml:space="preserve"> išsiskyrimo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sindromą (CIS) ir (arba) </w:t>
      </w:r>
      <w:proofErr w:type="spellStart"/>
      <w:r w:rsidRPr="006B1BE9">
        <w:rPr>
          <w:rFonts w:ascii="Helvetica" w:hAnsi="Helvetica" w:cs="Helvetica"/>
          <w:szCs w:val="24"/>
        </w:rPr>
        <w:t>neurotoksiškumą</w:t>
      </w:r>
      <w:proofErr w:type="spellEnd"/>
      <w:r w:rsidRPr="006B1BE9">
        <w:rPr>
          <w:rFonts w:ascii="Helvetica" w:hAnsi="Helvetica" w:cs="Helvetica"/>
          <w:szCs w:val="24"/>
        </w:rPr>
        <w:t>.</w:t>
      </w:r>
    </w:p>
    <w:p w14:paraId="2A9677DB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415FADEC" w14:textId="77777777" w:rsidR="006B1BE9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21. T ląstelių dozė, skirta naudoti pagal 19 punktą, kur:</w:t>
      </w:r>
      <w:r w:rsidR="006B1BE9" w:rsidRPr="006B1BE9">
        <w:rPr>
          <w:rFonts w:ascii="Helvetica" w:hAnsi="Helvetica" w:cs="Helvetica"/>
          <w:szCs w:val="24"/>
        </w:rPr>
        <w:t xml:space="preserve"> </w:t>
      </w:r>
    </w:p>
    <w:p w14:paraId="203A3A73" w14:textId="259E34E3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su CAR-T susijęs nepageidaujamas reiškinys yra CIS, kur, pasirinktinai:</w:t>
      </w:r>
    </w:p>
    <w:p w14:paraId="7B8BD7A5" w14:textId="2FD92FDB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gydymas apima tocilizumabą, deguonį, kortikosteroidus, </w:t>
      </w:r>
      <w:proofErr w:type="spellStart"/>
      <w:r w:rsidRPr="006B1BE9">
        <w:rPr>
          <w:rFonts w:ascii="Helvetica" w:hAnsi="Helvetica" w:cs="Helvetica"/>
          <w:szCs w:val="24"/>
        </w:rPr>
        <w:t>vazopresorių</w:t>
      </w:r>
      <w:proofErr w:type="spellEnd"/>
      <w:r w:rsidRPr="006B1BE9">
        <w:rPr>
          <w:rFonts w:ascii="Helvetica" w:hAnsi="Helvetica" w:cs="Helvetica"/>
          <w:szCs w:val="24"/>
        </w:rPr>
        <w:t xml:space="preserve"> arba bet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kokį jų derinį.</w:t>
      </w:r>
    </w:p>
    <w:p w14:paraId="0D31157A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C285C30" w14:textId="3E40F577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22. T ląstelių dozė, skirta naudoti pagal 20 punktą, kur su CAR-T susijęs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nepageidaujamas reiškinys yra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>, kur, pasirinktinai,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apima su imuninėmis </w:t>
      </w:r>
      <w:proofErr w:type="spellStart"/>
      <w:r w:rsidRPr="006B1BE9">
        <w:rPr>
          <w:rFonts w:ascii="Helvetica" w:hAnsi="Helvetica" w:cs="Helvetica"/>
          <w:szCs w:val="24"/>
        </w:rPr>
        <w:t>efektorinėmis</w:t>
      </w:r>
      <w:proofErr w:type="spellEnd"/>
      <w:r w:rsidRPr="006B1BE9">
        <w:rPr>
          <w:rFonts w:ascii="Helvetica" w:hAnsi="Helvetica" w:cs="Helvetica"/>
          <w:szCs w:val="24"/>
        </w:rPr>
        <w:t xml:space="preserve"> ląstelėmis susijusį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neurotoksiškumo</w:t>
      </w:r>
      <w:proofErr w:type="spellEnd"/>
      <w:r w:rsidRPr="006B1BE9">
        <w:rPr>
          <w:rFonts w:ascii="Helvetica" w:hAnsi="Helvetica" w:cs="Helvetica"/>
          <w:szCs w:val="24"/>
        </w:rPr>
        <w:t xml:space="preserve"> sindromą arba su juo susijusį simptomą, judėjimo ir </w:t>
      </w:r>
      <w:proofErr w:type="spellStart"/>
      <w:r w:rsidRPr="006B1BE9">
        <w:rPr>
          <w:rFonts w:ascii="Helvetica" w:hAnsi="Helvetica" w:cs="Helvetica"/>
          <w:szCs w:val="24"/>
        </w:rPr>
        <w:t>neurokognityvinį</w:t>
      </w:r>
      <w:proofErr w:type="spellEnd"/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toksinį poveikį, gydymo sukeltą nepageidaujamą </w:t>
      </w:r>
      <w:proofErr w:type="spellStart"/>
      <w:r w:rsidRPr="006B1BE9">
        <w:rPr>
          <w:rFonts w:ascii="Helvetica" w:hAnsi="Helvetica" w:cs="Helvetica"/>
          <w:szCs w:val="24"/>
        </w:rPr>
        <w:t>neurotoksiškumo</w:t>
      </w:r>
      <w:proofErr w:type="spellEnd"/>
      <w:r w:rsidRPr="006B1BE9">
        <w:rPr>
          <w:rFonts w:ascii="Helvetica" w:hAnsi="Helvetica" w:cs="Helvetica"/>
          <w:szCs w:val="24"/>
        </w:rPr>
        <w:t xml:space="preserve"> reiškinį, su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imuninėmis </w:t>
      </w:r>
      <w:proofErr w:type="spellStart"/>
      <w:r w:rsidRPr="006B1BE9">
        <w:rPr>
          <w:rFonts w:ascii="Helvetica" w:hAnsi="Helvetica" w:cs="Helvetica"/>
          <w:szCs w:val="24"/>
        </w:rPr>
        <w:t>efektorinėmis</w:t>
      </w:r>
      <w:proofErr w:type="spellEnd"/>
      <w:r w:rsidRPr="006B1BE9">
        <w:rPr>
          <w:rFonts w:ascii="Helvetica" w:hAnsi="Helvetica" w:cs="Helvetica"/>
          <w:szCs w:val="24"/>
        </w:rPr>
        <w:t xml:space="preserve"> ląstelėmis nesusijusį </w:t>
      </w:r>
      <w:proofErr w:type="spellStart"/>
      <w:r w:rsidRPr="006B1BE9">
        <w:rPr>
          <w:rFonts w:ascii="Helvetica" w:hAnsi="Helvetica" w:cs="Helvetica"/>
          <w:szCs w:val="24"/>
        </w:rPr>
        <w:t>neurotoksiškumo</w:t>
      </w:r>
      <w:proofErr w:type="spellEnd"/>
      <w:r w:rsidRPr="006B1BE9">
        <w:rPr>
          <w:rFonts w:ascii="Helvetica" w:hAnsi="Helvetica" w:cs="Helvetica"/>
          <w:szCs w:val="24"/>
        </w:rPr>
        <w:t xml:space="preserve"> sindromą ar susijusį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simptomą arba bet kokį jų derinį, kur, pasirinktinai,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yra su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imuninėmis </w:t>
      </w:r>
      <w:proofErr w:type="spellStart"/>
      <w:r w:rsidRPr="006B1BE9">
        <w:rPr>
          <w:rFonts w:ascii="Helvetica" w:hAnsi="Helvetica" w:cs="Helvetica"/>
          <w:szCs w:val="24"/>
        </w:rPr>
        <w:t>efektorinėmis</w:t>
      </w:r>
      <w:proofErr w:type="spellEnd"/>
      <w:r w:rsidRPr="006B1BE9">
        <w:rPr>
          <w:rFonts w:ascii="Helvetica" w:hAnsi="Helvetica" w:cs="Helvetica"/>
          <w:szCs w:val="24"/>
        </w:rPr>
        <w:t xml:space="preserve">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neurotoksiškumo</w:t>
      </w:r>
      <w:proofErr w:type="spellEnd"/>
      <w:r w:rsidRPr="006B1BE9">
        <w:rPr>
          <w:rFonts w:ascii="Helvetica" w:hAnsi="Helvetica" w:cs="Helvetica"/>
          <w:szCs w:val="24"/>
        </w:rPr>
        <w:t xml:space="preserve"> sindromas ar susijęs</w:t>
      </w:r>
    </w:p>
    <w:p w14:paraId="53656D16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simptomas, be to, kur, pasirinktinai:</w:t>
      </w:r>
    </w:p>
    <w:p w14:paraId="7516C20D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gydymas apima kortikosteroidus ir (arba) tocilizumabą.</w:t>
      </w:r>
    </w:p>
    <w:p w14:paraId="529F056F" w14:textId="77777777" w:rsidR="00A01180" w:rsidRPr="006B1BE9" w:rsidRDefault="00A0118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</w:p>
    <w:p w14:paraId="1F526C7D" w14:textId="21479449" w:rsidR="00784090" w:rsidRPr="006B1BE9" w:rsidRDefault="00784090" w:rsidP="006B1BE9">
      <w:pPr>
        <w:spacing w:line="360" w:lineRule="auto"/>
        <w:ind w:firstLine="567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23. T ląstelių dozė skirta naudoti pagal 19 arba 21 punktą, kur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yra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su CART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>,</w:t>
      </w:r>
    </w:p>
    <w:p w14:paraId="29DED90F" w14:textId="6597E790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kur, pasirinktinai, su CAR-T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apima </w:t>
      </w:r>
      <w:r w:rsidR="006B1BE9" w:rsidRPr="006B1BE9">
        <w:rPr>
          <w:rFonts w:ascii="Helvetica" w:hAnsi="Helvetica" w:cs="Helvetica"/>
          <w:szCs w:val="24"/>
        </w:rPr>
        <w:t xml:space="preserve">¾ </w:t>
      </w:r>
      <w:r w:rsidRPr="006B1BE9">
        <w:rPr>
          <w:rFonts w:ascii="Helvetica" w:hAnsi="Helvetica" w:cs="Helvetica"/>
          <w:szCs w:val="24"/>
        </w:rPr>
        <w:t xml:space="preserve">laipsnio </w:t>
      </w:r>
      <w:proofErr w:type="spellStart"/>
      <w:r w:rsidRPr="006B1BE9">
        <w:rPr>
          <w:rFonts w:ascii="Helvetica" w:hAnsi="Helvetica" w:cs="Helvetica"/>
          <w:szCs w:val="24"/>
        </w:rPr>
        <w:t>neurotoksiškumą</w:t>
      </w:r>
      <w:proofErr w:type="spellEnd"/>
      <w:r w:rsidRPr="006B1BE9">
        <w:rPr>
          <w:rFonts w:ascii="Helvetica" w:hAnsi="Helvetica" w:cs="Helvetica"/>
          <w:szCs w:val="24"/>
        </w:rPr>
        <w:t xml:space="preserve">, 5 laipsnio </w:t>
      </w:r>
      <w:proofErr w:type="spellStart"/>
      <w:r w:rsidRPr="006B1BE9">
        <w:rPr>
          <w:rFonts w:ascii="Helvetica" w:hAnsi="Helvetica" w:cs="Helvetica"/>
          <w:szCs w:val="24"/>
        </w:rPr>
        <w:t>neurotoksiškumą</w:t>
      </w:r>
      <w:proofErr w:type="spellEnd"/>
      <w:r w:rsidRPr="006B1BE9">
        <w:rPr>
          <w:rFonts w:ascii="Helvetica" w:hAnsi="Helvetica" w:cs="Helvetica"/>
          <w:szCs w:val="24"/>
        </w:rPr>
        <w:t>, galvinių nervų paralyžių,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periferinę neuropatiją, su gydymu susijusį nepageidaujamą poveikį judėjimo ir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neurokognityviniams</w:t>
      </w:r>
      <w:proofErr w:type="spellEnd"/>
      <w:r w:rsidRPr="006B1BE9">
        <w:rPr>
          <w:rFonts w:ascii="Helvetica" w:hAnsi="Helvetica" w:cs="Helvetica"/>
          <w:szCs w:val="24"/>
        </w:rPr>
        <w:t xml:space="preserve"> gebėjimams arba bet kokį jų derinį,</w:t>
      </w:r>
    </w:p>
    <w:p w14:paraId="6539DE8D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be to, kur, pasirinktinai:</w:t>
      </w:r>
    </w:p>
    <w:p w14:paraId="5AB069EF" w14:textId="568CB545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(a) su CAR-T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yra 5 laipsnio</w:t>
      </w:r>
      <w:r w:rsidR="006B1BE9" w:rsidRPr="006B1BE9">
        <w:rPr>
          <w:rFonts w:ascii="Helvetica" w:hAnsi="Helvetica" w:cs="Helvetica"/>
          <w:szCs w:val="24"/>
        </w:rPr>
        <w:t xml:space="preserve">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>;</w:t>
      </w:r>
    </w:p>
    <w:p w14:paraId="69AB6F0C" w14:textId="4510A05E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 xml:space="preserve">(b) su CAR-T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yra galvinių nervų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paralyžius, kur:</w:t>
      </w:r>
    </w:p>
    <w:p w14:paraId="70D01D3D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(1) galvinių nervų paralyžius yra 2 arba 3 laipsnio galvinių nervų paralyžius;</w:t>
      </w:r>
    </w:p>
    <w:p w14:paraId="7AFEA3FE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(2) galvinių nervų paralyžius pažeidžia III, V arba VII galvinį nervą;</w:t>
      </w:r>
    </w:p>
    <w:p w14:paraId="15E64AC7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(3) gydymas apima kortikosteroidus;</w:t>
      </w:r>
    </w:p>
    <w:p w14:paraId="3ECF5F61" w14:textId="77777777" w:rsidR="00784090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t>arba</w:t>
      </w:r>
    </w:p>
    <w:p w14:paraId="05BD0C82" w14:textId="592AA5B6" w:rsidR="0018473C" w:rsidRPr="006B1BE9" w:rsidRDefault="00784090" w:rsidP="006B1BE9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6B1BE9">
        <w:rPr>
          <w:rFonts w:ascii="Helvetica" w:hAnsi="Helvetica" w:cs="Helvetica"/>
          <w:szCs w:val="24"/>
        </w:rPr>
        <w:lastRenderedPageBreak/>
        <w:t xml:space="preserve">(c) su CAR-T ląstelėmis susijęs </w:t>
      </w:r>
      <w:proofErr w:type="spellStart"/>
      <w:r w:rsidRPr="006B1BE9">
        <w:rPr>
          <w:rFonts w:ascii="Helvetica" w:hAnsi="Helvetica" w:cs="Helvetica"/>
          <w:szCs w:val="24"/>
        </w:rPr>
        <w:t>neurotoksiškumas</w:t>
      </w:r>
      <w:proofErr w:type="spellEnd"/>
      <w:r w:rsidRPr="006B1BE9">
        <w:rPr>
          <w:rFonts w:ascii="Helvetica" w:hAnsi="Helvetica" w:cs="Helvetica"/>
          <w:szCs w:val="24"/>
        </w:rPr>
        <w:t xml:space="preserve"> yra nepageidaujamas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poveikis judėjimo ir </w:t>
      </w:r>
      <w:proofErr w:type="spellStart"/>
      <w:r w:rsidRPr="006B1BE9">
        <w:rPr>
          <w:rFonts w:ascii="Helvetica" w:hAnsi="Helvetica" w:cs="Helvetica"/>
          <w:szCs w:val="24"/>
        </w:rPr>
        <w:t>neurokognityviniams</w:t>
      </w:r>
      <w:proofErr w:type="spellEnd"/>
      <w:r w:rsidRPr="006B1BE9">
        <w:rPr>
          <w:rFonts w:ascii="Helvetica" w:hAnsi="Helvetica" w:cs="Helvetica"/>
          <w:szCs w:val="24"/>
        </w:rPr>
        <w:t xml:space="preserve"> gebėjimams, kur, pasirinktinai,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 xml:space="preserve">nepageidaujamas poveikis judėjimo ir </w:t>
      </w:r>
      <w:proofErr w:type="spellStart"/>
      <w:r w:rsidRPr="006B1BE9">
        <w:rPr>
          <w:rFonts w:ascii="Helvetica" w:hAnsi="Helvetica" w:cs="Helvetica"/>
          <w:szCs w:val="24"/>
        </w:rPr>
        <w:t>neurokognityviniams</w:t>
      </w:r>
      <w:proofErr w:type="spellEnd"/>
      <w:r w:rsidRPr="006B1BE9">
        <w:rPr>
          <w:rFonts w:ascii="Helvetica" w:hAnsi="Helvetica" w:cs="Helvetica"/>
          <w:szCs w:val="24"/>
        </w:rPr>
        <w:t xml:space="preserve"> gebėjimams yra 1</w:t>
      </w:r>
      <w:r w:rsidR="006B1BE9" w:rsidRPr="006B1BE9">
        <w:rPr>
          <w:rFonts w:ascii="Helvetica" w:hAnsi="Helvetica" w:cs="Helvetica"/>
          <w:szCs w:val="24"/>
        </w:rPr>
        <w:t xml:space="preserve"> </w:t>
      </w:r>
      <w:r w:rsidRPr="006B1BE9">
        <w:rPr>
          <w:rFonts w:ascii="Helvetica" w:hAnsi="Helvetica" w:cs="Helvetica"/>
          <w:szCs w:val="24"/>
        </w:rPr>
        <w:t>laipsnio nepageidaujamas poveikis.</w:t>
      </w:r>
    </w:p>
    <w:sectPr w:rsidR="0018473C" w:rsidRPr="006B1BE9" w:rsidSect="006B1BE9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A88C21" w14:textId="77777777" w:rsidR="00DC4D73" w:rsidRDefault="00DC4D73" w:rsidP="00A01180">
      <w:r>
        <w:separator/>
      </w:r>
    </w:p>
  </w:endnote>
  <w:endnote w:type="continuationSeparator" w:id="0">
    <w:p w14:paraId="1663FC25" w14:textId="77777777" w:rsidR="00DC4D73" w:rsidRDefault="00DC4D73" w:rsidP="00A01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D25538" w14:textId="77777777" w:rsidR="00DC4D73" w:rsidRDefault="00DC4D73" w:rsidP="00A01180">
      <w:r>
        <w:separator/>
      </w:r>
    </w:p>
  </w:footnote>
  <w:footnote w:type="continuationSeparator" w:id="0">
    <w:p w14:paraId="449E738D" w14:textId="77777777" w:rsidR="00DC4D73" w:rsidRDefault="00DC4D73" w:rsidP="00A01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84090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394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B1BE9"/>
    <w:rsid w:val="006C47E9"/>
    <w:rsid w:val="006D23AC"/>
    <w:rsid w:val="006D2EFA"/>
    <w:rsid w:val="006F782C"/>
    <w:rsid w:val="0073638B"/>
    <w:rsid w:val="007440F4"/>
    <w:rsid w:val="00774239"/>
    <w:rsid w:val="00784090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01180"/>
    <w:rsid w:val="00A3647A"/>
    <w:rsid w:val="00A37603"/>
    <w:rsid w:val="00A41E70"/>
    <w:rsid w:val="00A53C42"/>
    <w:rsid w:val="00A63DB6"/>
    <w:rsid w:val="00A7405D"/>
    <w:rsid w:val="00A9446D"/>
    <w:rsid w:val="00AB40E5"/>
    <w:rsid w:val="00AC620D"/>
    <w:rsid w:val="00AD5E9E"/>
    <w:rsid w:val="00B178F5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4D73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00A04D"/>
  <w15:chartTrackingRefBased/>
  <w15:docId w15:val="{FAC57953-A375-4225-803B-13955A340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840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840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40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840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840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840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840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840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840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84090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840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4090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84090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84090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84090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84090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84090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84090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840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8409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840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840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840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84090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78409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84090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840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84090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784090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A0118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01180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0118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01180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1685</Words>
  <Characters>10858</Characters>
  <Application>Microsoft Office Word</Application>
  <DocSecurity>0</DocSecurity>
  <Lines>178</Lines>
  <Paragraphs>77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Rasa Gurčytė</cp:lastModifiedBy>
  <cp:revision>3</cp:revision>
  <dcterms:created xsi:type="dcterms:W3CDTF">2024-07-15T07:20:00Z</dcterms:created>
  <dcterms:modified xsi:type="dcterms:W3CDTF">2024-11-26T08:43:00Z</dcterms:modified>
</cp:coreProperties>
</file>