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6F1E" w14:textId="64740C14" w:rsidR="007B24E9" w:rsidRDefault="001B50C5">
      <w:r>
        <w:t>A method is disclosed for chemo-enzymatic production of the functionally active stereoisomer of Sadenosyl-L-methionine analogs with extended transferable moieties of formula (I) and (II) from corresponding alkylbromides and S-adenosyl-L-homocysteine</w:t>
      </w:r>
      <w:r>
        <w:t>.</w:t>
      </w:r>
    </w:p>
    <w:sectPr w:rsidR="007B24E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C5"/>
    <w:rsid w:val="001B50C5"/>
    <w:rsid w:val="002F6125"/>
    <w:rsid w:val="003A16FF"/>
    <w:rsid w:val="00671E00"/>
    <w:rsid w:val="007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537E"/>
  <w14:defaultImageDpi w14:val="32767"/>
  <w15:chartTrackingRefBased/>
  <w15:docId w15:val="{3F8D3C41-EE70-43E3-B4DC-4EBB6B56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5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5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50C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50C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50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50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50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50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50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50C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50C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50C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5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2025-02-13T08:19:00Z</dcterms:created>
  <dcterms:modified xsi:type="dcterms:W3CDTF">2025-02-13T08:19:00Z</dcterms:modified>
</cp:coreProperties>
</file>