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A3D1D0" w14:textId="705BA34E" w:rsidR="000D7E69" w:rsidRPr="000D7E69" w:rsidRDefault="000D7E69" w:rsidP="000D7E69">
      <w:pPr>
        <w:spacing w:after="0" w:line="360" w:lineRule="auto"/>
        <w:ind w:firstLine="567"/>
        <w:jc w:val="both"/>
        <w:rPr>
          <w:rFonts w:ascii="Helvetica" w:hAnsi="Helvetica"/>
          <w:sz w:val="20"/>
        </w:rPr>
      </w:pPr>
      <w:r w:rsidRPr="000D7E69">
        <w:rPr>
          <w:rFonts w:ascii="Helvetica" w:hAnsi="Helvetica"/>
          <w:sz w:val="20"/>
        </w:rPr>
        <w:t xml:space="preserve">1. Būdas pagerinti kraujo prisotinimo deguonimi nustatymo tikslumą ir patikimumą, naudojant nešiojamąjį skaičiavimo prietaisą, kuris apima bent vieną raudonos šviesos bangos ilgio diodą (1), bent vieną infraraudonosios šviesos bangos ilgio diodą (2) ir bent vieną žalios šviesos bangos ilgio diodą (3) šviesai skleisti į vartotojo odą ir bent vieną fotodetektorių (4), skirtą nuo vartotojo odos atspindėtos šviesos intensyvumui matuoti bei atitinkamam elektros signalui generuoti, universalųjį procesorių, programinę aparatinę įrangą ir (arba) programinę įrangą, valdančią universalųjį procesorių, atmintį, kur nešiojamojo skaičiavimo prietaiso programinis kodas yra įrašytas nešiojamojo skaičiavimo prietaiso duomenų kaupiklyje, kur nešiojamasis skaičiavimo prietaisas kaip įvesties duomenis naudoja žaliosios šviesos, raudonosios šviesos ir infraraudonosios šviesos </w:t>
      </w:r>
      <w:proofErr w:type="spellStart"/>
      <w:r w:rsidRPr="000D7E69">
        <w:rPr>
          <w:rFonts w:ascii="Helvetica" w:hAnsi="Helvetica"/>
          <w:sz w:val="20"/>
        </w:rPr>
        <w:t>fotopletizmografijos</w:t>
      </w:r>
      <w:proofErr w:type="spellEnd"/>
      <w:r w:rsidRPr="000D7E69">
        <w:rPr>
          <w:rFonts w:ascii="Helvetica" w:hAnsi="Helvetica"/>
          <w:sz w:val="20"/>
        </w:rPr>
        <w:t xml:space="preserve"> duomenis kur būdas apima žaliosios šviesos, raudonosios šviesos ir infraraudonosios šviesos </w:t>
      </w:r>
      <w:proofErr w:type="spellStart"/>
      <w:r w:rsidRPr="000D7E69">
        <w:rPr>
          <w:rFonts w:ascii="Helvetica" w:hAnsi="Helvetica"/>
          <w:sz w:val="20"/>
        </w:rPr>
        <w:t>fotopletizmografijos</w:t>
      </w:r>
      <w:proofErr w:type="spellEnd"/>
      <w:r w:rsidRPr="000D7E69">
        <w:rPr>
          <w:rFonts w:ascii="Helvetica" w:hAnsi="Helvetica"/>
          <w:sz w:val="20"/>
        </w:rPr>
        <w:t xml:space="preserve"> duomenų, kaip įvesties duomenų, naudojimą ir naudotojo kraujo prisotinimo deguonimi lygio nustatymą, </w:t>
      </w:r>
      <w:r>
        <w:rPr>
          <w:rFonts w:ascii="Helvetica" w:hAnsi="Helvetica"/>
          <w:sz w:val="20"/>
        </w:rPr>
        <w:t xml:space="preserve"> </w:t>
      </w:r>
      <w:r w:rsidRPr="000D7E69">
        <w:rPr>
          <w:rFonts w:ascii="Helvetica" w:hAnsi="Helvetica"/>
          <w:sz w:val="20"/>
        </w:rPr>
        <w:t>b e s i s k i r i a n t i s</w:t>
      </w:r>
      <w:r>
        <w:rPr>
          <w:rFonts w:ascii="Helvetica" w:hAnsi="Helvetica"/>
          <w:sz w:val="20"/>
        </w:rPr>
        <w:t xml:space="preserve"> </w:t>
      </w:r>
      <w:r w:rsidRPr="000D7E69">
        <w:rPr>
          <w:rFonts w:ascii="Helvetica" w:hAnsi="Helvetica"/>
          <w:sz w:val="20"/>
        </w:rPr>
        <w:t xml:space="preserve"> tuo, kad</w:t>
      </w:r>
    </w:p>
    <w:p w14:paraId="5CB4EE81" w14:textId="77777777" w:rsidR="000D7E69" w:rsidRPr="000D7E69" w:rsidRDefault="000D7E69" w:rsidP="000D7E69">
      <w:pPr>
        <w:spacing w:after="0" w:line="360" w:lineRule="auto"/>
        <w:jc w:val="both"/>
        <w:rPr>
          <w:rFonts w:ascii="Helvetica" w:hAnsi="Helvetica"/>
          <w:sz w:val="20"/>
        </w:rPr>
      </w:pPr>
      <w:r w:rsidRPr="000D7E69">
        <w:rPr>
          <w:rFonts w:ascii="Helvetica" w:hAnsi="Helvetica"/>
          <w:sz w:val="20"/>
        </w:rPr>
        <w:t>GREEN PPG signalas iš anksto apdorojamas, pašalinant aukšto dažnio triukšmą žemųjų dažnių filtru, kurio ribinis dažnis 6 Hz, ir pašalinant bazinės linijos klaidžiojimą aukštųjų dažnių filtru, kurio ribinis dažnis 0,5 Hz, bei adaptyvųjį filtrą, kurio atskaitos įvestis lygi vieneto konstantai, likusiam bazinės linijos klaidžiojimui papildomai šalinti,</w:t>
      </w:r>
    </w:p>
    <w:p w14:paraId="242EB1D1" w14:textId="77777777" w:rsidR="000D7E69" w:rsidRPr="000D7E69" w:rsidRDefault="000D7E69" w:rsidP="000D7E69">
      <w:pPr>
        <w:spacing w:after="0" w:line="360" w:lineRule="auto"/>
        <w:jc w:val="both"/>
        <w:rPr>
          <w:rFonts w:ascii="Helvetica" w:hAnsi="Helvetica"/>
          <w:sz w:val="20"/>
        </w:rPr>
      </w:pPr>
      <w:r w:rsidRPr="000D7E69">
        <w:rPr>
          <w:rFonts w:ascii="Helvetica" w:hAnsi="Helvetica"/>
          <w:sz w:val="20"/>
        </w:rPr>
        <w:t xml:space="preserve">RED ir </w:t>
      </w:r>
      <w:proofErr w:type="spellStart"/>
      <w:r w:rsidRPr="000D7E69">
        <w:rPr>
          <w:rFonts w:ascii="Helvetica" w:hAnsi="Helvetica"/>
          <w:sz w:val="20"/>
        </w:rPr>
        <w:t>IR</w:t>
      </w:r>
      <w:proofErr w:type="spellEnd"/>
      <w:r w:rsidRPr="000D7E69">
        <w:rPr>
          <w:rFonts w:ascii="Helvetica" w:hAnsi="Helvetica"/>
          <w:sz w:val="20"/>
        </w:rPr>
        <w:t xml:space="preserve"> </w:t>
      </w:r>
      <w:proofErr w:type="spellStart"/>
      <w:r w:rsidRPr="000D7E69">
        <w:rPr>
          <w:rFonts w:ascii="Helvetica" w:hAnsi="Helvetica"/>
          <w:sz w:val="20"/>
        </w:rPr>
        <w:t>fotopletizmografijos</w:t>
      </w:r>
      <w:proofErr w:type="spellEnd"/>
      <w:r w:rsidRPr="000D7E69">
        <w:rPr>
          <w:rFonts w:ascii="Helvetica" w:hAnsi="Helvetica"/>
          <w:sz w:val="20"/>
        </w:rPr>
        <w:t xml:space="preserve"> signalai apdorojami, naudojant adaptyvųjį filtrą su žemųjų dažnių filtru apdorotu GREEN signalu, kaip atskaitos tašku RED ir </w:t>
      </w:r>
      <w:proofErr w:type="spellStart"/>
      <w:r w:rsidRPr="000D7E69">
        <w:rPr>
          <w:rFonts w:ascii="Helvetica" w:hAnsi="Helvetica"/>
          <w:sz w:val="20"/>
        </w:rPr>
        <w:t>IR</w:t>
      </w:r>
      <w:proofErr w:type="spellEnd"/>
      <w:r w:rsidRPr="000D7E69">
        <w:rPr>
          <w:rFonts w:ascii="Helvetica" w:hAnsi="Helvetica"/>
          <w:sz w:val="20"/>
        </w:rPr>
        <w:t xml:space="preserve"> </w:t>
      </w:r>
      <w:proofErr w:type="spellStart"/>
      <w:r w:rsidRPr="000D7E69">
        <w:rPr>
          <w:rFonts w:ascii="Helvetica" w:hAnsi="Helvetica"/>
          <w:sz w:val="20"/>
        </w:rPr>
        <w:t>fotopletizmografijos</w:t>
      </w:r>
      <w:proofErr w:type="spellEnd"/>
      <w:r w:rsidRPr="000D7E69">
        <w:rPr>
          <w:rFonts w:ascii="Helvetica" w:hAnsi="Helvetica"/>
          <w:sz w:val="20"/>
        </w:rPr>
        <w:t xml:space="preserve"> signalams SNR stiprinti,</w:t>
      </w:r>
    </w:p>
    <w:p w14:paraId="2E68686F" w14:textId="77777777" w:rsidR="000D7E69" w:rsidRPr="000D7E69" w:rsidRDefault="000D7E69" w:rsidP="000D7E69">
      <w:pPr>
        <w:spacing w:after="0" w:line="360" w:lineRule="auto"/>
        <w:jc w:val="both"/>
        <w:rPr>
          <w:rFonts w:ascii="Helvetica" w:hAnsi="Helvetica"/>
          <w:sz w:val="20"/>
        </w:rPr>
      </w:pPr>
      <w:r w:rsidRPr="000D7E69">
        <w:rPr>
          <w:rFonts w:ascii="Helvetica" w:hAnsi="Helvetica"/>
          <w:sz w:val="20"/>
        </w:rPr>
        <w:t xml:space="preserve">po RED ir </w:t>
      </w:r>
      <w:proofErr w:type="spellStart"/>
      <w:r w:rsidRPr="000D7E69">
        <w:rPr>
          <w:rFonts w:ascii="Helvetica" w:hAnsi="Helvetica"/>
          <w:sz w:val="20"/>
        </w:rPr>
        <w:t>IR</w:t>
      </w:r>
      <w:proofErr w:type="spellEnd"/>
      <w:r w:rsidRPr="000D7E69">
        <w:rPr>
          <w:rFonts w:ascii="Helvetica" w:hAnsi="Helvetica"/>
          <w:sz w:val="20"/>
        </w:rPr>
        <w:t xml:space="preserve"> SNR padidinimo PPG signalai iš anksto apdorojami, naudojant žemųjų dažnių filtrus, kad būtų pašalintas </w:t>
      </w:r>
      <w:proofErr w:type="spellStart"/>
      <w:r w:rsidRPr="000D7E69">
        <w:rPr>
          <w:rFonts w:ascii="Helvetica" w:hAnsi="Helvetica"/>
          <w:sz w:val="20"/>
        </w:rPr>
        <w:t>aukštadažnis</w:t>
      </w:r>
      <w:proofErr w:type="spellEnd"/>
      <w:r w:rsidRPr="000D7E69">
        <w:rPr>
          <w:rFonts w:ascii="Helvetica" w:hAnsi="Helvetica"/>
          <w:sz w:val="20"/>
        </w:rPr>
        <w:t xml:space="preserve"> triukšmas, o RED ir </w:t>
      </w:r>
      <w:proofErr w:type="spellStart"/>
      <w:r w:rsidRPr="000D7E69">
        <w:rPr>
          <w:rFonts w:ascii="Helvetica" w:hAnsi="Helvetica"/>
          <w:sz w:val="20"/>
        </w:rPr>
        <w:t>IR</w:t>
      </w:r>
      <w:proofErr w:type="spellEnd"/>
      <w:r w:rsidRPr="000D7E69">
        <w:rPr>
          <w:rFonts w:ascii="Helvetica" w:hAnsi="Helvetica"/>
          <w:sz w:val="20"/>
        </w:rPr>
        <w:t xml:space="preserve"> </w:t>
      </w:r>
      <w:proofErr w:type="spellStart"/>
      <w:r w:rsidRPr="000D7E69">
        <w:rPr>
          <w:rFonts w:ascii="Helvetica" w:hAnsi="Helvetica"/>
          <w:sz w:val="20"/>
        </w:rPr>
        <w:t>fotopletizmografijos</w:t>
      </w:r>
      <w:proofErr w:type="spellEnd"/>
      <w:r w:rsidRPr="000D7E69">
        <w:rPr>
          <w:rFonts w:ascii="Helvetica" w:hAnsi="Helvetica"/>
          <w:sz w:val="20"/>
        </w:rPr>
        <w:t xml:space="preserve"> signalai apdorojami, naudojant adaptyvųjį filtrą, kurio atskaitos įvestis lygi vieneto konstantai, kur nuolatinės srovės dedamoji išskiriama iš šių signalų,</w:t>
      </w:r>
    </w:p>
    <w:p w14:paraId="767B2511" w14:textId="77777777" w:rsidR="000D7E69" w:rsidRPr="000D7E69" w:rsidRDefault="000D7E69" w:rsidP="000D7E69">
      <w:pPr>
        <w:spacing w:after="0" w:line="360" w:lineRule="auto"/>
        <w:jc w:val="both"/>
        <w:rPr>
          <w:rFonts w:ascii="Helvetica" w:hAnsi="Helvetica"/>
          <w:sz w:val="20"/>
        </w:rPr>
      </w:pPr>
      <w:r w:rsidRPr="000D7E69">
        <w:rPr>
          <w:rFonts w:ascii="Helvetica" w:hAnsi="Helvetica"/>
          <w:sz w:val="20"/>
        </w:rPr>
        <w:t xml:space="preserve">RED ir </w:t>
      </w:r>
      <w:proofErr w:type="spellStart"/>
      <w:r w:rsidRPr="000D7E69">
        <w:rPr>
          <w:rFonts w:ascii="Helvetica" w:hAnsi="Helvetica"/>
          <w:sz w:val="20"/>
        </w:rPr>
        <w:t>IR</w:t>
      </w:r>
      <w:proofErr w:type="spellEnd"/>
      <w:r w:rsidRPr="000D7E69">
        <w:rPr>
          <w:rFonts w:ascii="Helvetica" w:hAnsi="Helvetica"/>
          <w:sz w:val="20"/>
        </w:rPr>
        <w:t xml:space="preserve"> </w:t>
      </w:r>
      <w:proofErr w:type="spellStart"/>
      <w:r w:rsidRPr="000D7E69">
        <w:rPr>
          <w:rFonts w:ascii="Helvetica" w:hAnsi="Helvetica"/>
          <w:sz w:val="20"/>
        </w:rPr>
        <w:t>fotopletizmografijos</w:t>
      </w:r>
      <w:proofErr w:type="spellEnd"/>
      <w:r w:rsidRPr="000D7E69">
        <w:rPr>
          <w:rFonts w:ascii="Helvetica" w:hAnsi="Helvetica"/>
          <w:sz w:val="20"/>
        </w:rPr>
        <w:t xml:space="preserve"> signalai, apdoroti naudojant žemųjų dažnių filtrą, apdorojami naudojant aukštųjų dažnių filtrą, kuris pašalina bazinės linijos klaidžiojimą iš RED ir </w:t>
      </w:r>
      <w:proofErr w:type="spellStart"/>
      <w:r w:rsidRPr="000D7E69">
        <w:rPr>
          <w:rFonts w:ascii="Helvetica" w:hAnsi="Helvetica"/>
          <w:sz w:val="20"/>
        </w:rPr>
        <w:t>IR</w:t>
      </w:r>
      <w:proofErr w:type="spellEnd"/>
      <w:r w:rsidRPr="000D7E69">
        <w:rPr>
          <w:rFonts w:ascii="Helvetica" w:hAnsi="Helvetica"/>
          <w:sz w:val="20"/>
        </w:rPr>
        <w:t xml:space="preserve"> </w:t>
      </w:r>
      <w:proofErr w:type="spellStart"/>
      <w:r w:rsidRPr="000D7E69">
        <w:rPr>
          <w:rFonts w:ascii="Helvetica" w:hAnsi="Helvetica"/>
          <w:sz w:val="20"/>
        </w:rPr>
        <w:t>fotopletizmografijos</w:t>
      </w:r>
      <w:proofErr w:type="spellEnd"/>
      <w:r w:rsidRPr="000D7E69">
        <w:rPr>
          <w:rFonts w:ascii="Helvetica" w:hAnsi="Helvetica"/>
          <w:sz w:val="20"/>
        </w:rPr>
        <w:t xml:space="preserve"> signalų,</w:t>
      </w:r>
    </w:p>
    <w:p w14:paraId="6D49E699" w14:textId="77777777" w:rsidR="000D7E69" w:rsidRPr="000D7E69" w:rsidRDefault="000D7E69" w:rsidP="000D7E69">
      <w:pPr>
        <w:spacing w:after="0" w:line="360" w:lineRule="auto"/>
        <w:jc w:val="both"/>
        <w:rPr>
          <w:rFonts w:ascii="Helvetica" w:hAnsi="Helvetica"/>
          <w:sz w:val="20"/>
        </w:rPr>
      </w:pPr>
      <w:r w:rsidRPr="000D7E69">
        <w:rPr>
          <w:rFonts w:ascii="Helvetica" w:hAnsi="Helvetica"/>
          <w:sz w:val="20"/>
        </w:rPr>
        <w:t xml:space="preserve">po RED ir </w:t>
      </w:r>
      <w:proofErr w:type="spellStart"/>
      <w:r w:rsidRPr="000D7E69">
        <w:rPr>
          <w:rFonts w:ascii="Helvetica" w:hAnsi="Helvetica"/>
          <w:sz w:val="20"/>
        </w:rPr>
        <w:t>IR</w:t>
      </w:r>
      <w:proofErr w:type="spellEnd"/>
      <w:r w:rsidRPr="000D7E69">
        <w:rPr>
          <w:rFonts w:ascii="Helvetica" w:hAnsi="Helvetica"/>
          <w:sz w:val="20"/>
        </w:rPr>
        <w:t xml:space="preserve"> FPG signalų apdorojimo aukštųjų dažnių filtru šie signalai vėl apdorojami, naudojant adaptyvųjį filtrą, kurio atskaitos signalas lygus vieneto konstantai, tam, kad būtų pašalintas likutinis bazinės linijos klaidžiojimas, kurio negalima pašalinti žemųjų dažnių filtru,</w:t>
      </w:r>
    </w:p>
    <w:p w14:paraId="47206B4D" w14:textId="77777777" w:rsidR="000D7E69" w:rsidRPr="000D7E69" w:rsidRDefault="000D7E69" w:rsidP="000D7E69">
      <w:pPr>
        <w:spacing w:after="0" w:line="360" w:lineRule="auto"/>
        <w:jc w:val="both"/>
        <w:rPr>
          <w:rFonts w:ascii="Helvetica" w:hAnsi="Helvetica"/>
          <w:sz w:val="20"/>
        </w:rPr>
      </w:pPr>
      <w:r w:rsidRPr="000D7E69">
        <w:rPr>
          <w:rFonts w:ascii="Helvetica" w:hAnsi="Helvetica"/>
          <w:sz w:val="20"/>
        </w:rPr>
        <w:t xml:space="preserve">kur išskirtų RED ir </w:t>
      </w:r>
      <w:proofErr w:type="spellStart"/>
      <w:r w:rsidRPr="000D7E69">
        <w:rPr>
          <w:rFonts w:ascii="Helvetica" w:hAnsi="Helvetica"/>
          <w:sz w:val="20"/>
        </w:rPr>
        <w:t>IR</w:t>
      </w:r>
      <w:proofErr w:type="spellEnd"/>
      <w:r w:rsidRPr="000D7E69">
        <w:rPr>
          <w:rFonts w:ascii="Helvetica" w:hAnsi="Helvetica"/>
          <w:sz w:val="20"/>
        </w:rPr>
        <w:t xml:space="preserve"> PPG signalų kintamosios srovės ir nuolatinės srovės dalių segmentavimas atliekamas pagal smailės aptikimą GREEN PPG signale,</w:t>
      </w:r>
    </w:p>
    <w:p w14:paraId="41C13C38" w14:textId="77777777" w:rsidR="000D7E69" w:rsidRPr="000D7E69" w:rsidRDefault="000D7E69" w:rsidP="000D7E69">
      <w:pPr>
        <w:spacing w:after="0" w:line="360" w:lineRule="auto"/>
        <w:jc w:val="both"/>
        <w:rPr>
          <w:rFonts w:ascii="Helvetica" w:hAnsi="Helvetica"/>
          <w:sz w:val="20"/>
        </w:rPr>
      </w:pPr>
      <w:r w:rsidRPr="000D7E69">
        <w:rPr>
          <w:rFonts w:ascii="Helvetica" w:hAnsi="Helvetica"/>
          <w:sz w:val="20"/>
        </w:rPr>
        <w:t xml:space="preserve">naudojamas adaptyvusis filtras RED ir </w:t>
      </w:r>
      <w:proofErr w:type="spellStart"/>
      <w:r w:rsidRPr="000D7E69">
        <w:rPr>
          <w:rFonts w:ascii="Helvetica" w:hAnsi="Helvetica"/>
          <w:sz w:val="20"/>
        </w:rPr>
        <w:t>IR</w:t>
      </w:r>
      <w:proofErr w:type="spellEnd"/>
      <w:r w:rsidRPr="000D7E69">
        <w:rPr>
          <w:rFonts w:ascii="Helvetica" w:hAnsi="Helvetica"/>
          <w:sz w:val="20"/>
        </w:rPr>
        <w:t xml:space="preserve"> PPG signalų SNR padidinti, kur GREEN PPG signalas naudojamas signalo kokybei sekti ir RED bei IR PPG signalų SNR padidinimui,</w:t>
      </w:r>
    </w:p>
    <w:p w14:paraId="2D30029E" w14:textId="77777777" w:rsidR="000D7E69" w:rsidRPr="000D7E69" w:rsidRDefault="000D7E69" w:rsidP="000D7E69">
      <w:pPr>
        <w:spacing w:after="0" w:line="360" w:lineRule="auto"/>
        <w:jc w:val="both"/>
        <w:rPr>
          <w:rFonts w:ascii="Helvetica" w:hAnsi="Helvetica"/>
          <w:sz w:val="20"/>
        </w:rPr>
      </w:pPr>
      <w:r w:rsidRPr="000D7E69">
        <w:rPr>
          <w:rFonts w:ascii="Helvetica" w:hAnsi="Helvetica"/>
          <w:sz w:val="20"/>
        </w:rPr>
        <w:t>atliekamas kokybės sekimas, lyginant kiekvieną išskirtą GREEN PPG impulsą su iš anksto nustatytu šablonu, naudojant imties kryžminę koreliaciją ir šablono atnaujinimą bei šablono pritaikymą prie užregistruotos PPG signalo impulsų formos priklausomai nuo vėlesnių impulsų kokybės.</w:t>
      </w:r>
    </w:p>
    <w:p w14:paraId="5B1515AD" w14:textId="77777777" w:rsidR="000D7E69" w:rsidRPr="000D7E69" w:rsidRDefault="000D7E69" w:rsidP="000D7E69">
      <w:pPr>
        <w:spacing w:after="0" w:line="360" w:lineRule="auto"/>
        <w:jc w:val="both"/>
        <w:rPr>
          <w:rFonts w:ascii="Helvetica" w:hAnsi="Helvetica"/>
          <w:sz w:val="20"/>
        </w:rPr>
      </w:pPr>
    </w:p>
    <w:p w14:paraId="25E12BCF" w14:textId="77777777" w:rsidR="000D7E69" w:rsidRPr="000D7E69" w:rsidRDefault="000D7E69" w:rsidP="000D7E69">
      <w:pPr>
        <w:spacing w:after="0" w:line="360" w:lineRule="auto"/>
        <w:ind w:firstLine="567"/>
        <w:jc w:val="both"/>
        <w:rPr>
          <w:rFonts w:ascii="Helvetica" w:hAnsi="Helvetica"/>
          <w:sz w:val="20"/>
        </w:rPr>
      </w:pPr>
      <w:r w:rsidRPr="000D7E69">
        <w:rPr>
          <w:rFonts w:ascii="Helvetica" w:hAnsi="Helvetica"/>
          <w:sz w:val="20"/>
        </w:rPr>
        <w:t xml:space="preserve">2. Būdas pagal 1 punktą, kur išgautų RED ir </w:t>
      </w:r>
      <w:proofErr w:type="spellStart"/>
      <w:r w:rsidRPr="000D7E69">
        <w:rPr>
          <w:rFonts w:ascii="Helvetica" w:hAnsi="Helvetica"/>
          <w:sz w:val="20"/>
        </w:rPr>
        <w:t>IR</w:t>
      </w:r>
      <w:proofErr w:type="spellEnd"/>
      <w:r w:rsidRPr="000D7E69">
        <w:rPr>
          <w:rFonts w:ascii="Helvetica" w:hAnsi="Helvetica"/>
          <w:sz w:val="20"/>
        </w:rPr>
        <w:t xml:space="preserve"> PPG signalų kintamosios bei nuolatinės srovės dalių segmentavimas atliekamas pagal GREEN PPG signale aptiktą smailę, naudojant smailės aptikimo algoritmą, kuris identifikuoja GREEN signalo taškus, kuriuose atsiranda vietiniai maksimumai, kur aptikus smailę GREEN signale, šie taškai naudojami RED ir </w:t>
      </w:r>
      <w:proofErr w:type="spellStart"/>
      <w:r w:rsidRPr="000D7E69">
        <w:rPr>
          <w:rFonts w:ascii="Helvetica" w:hAnsi="Helvetica"/>
          <w:sz w:val="20"/>
        </w:rPr>
        <w:t>IR</w:t>
      </w:r>
      <w:proofErr w:type="spellEnd"/>
      <w:r w:rsidRPr="000D7E69">
        <w:rPr>
          <w:rFonts w:ascii="Helvetica" w:hAnsi="Helvetica"/>
          <w:sz w:val="20"/>
        </w:rPr>
        <w:t xml:space="preserve"> signalams </w:t>
      </w:r>
      <w:proofErr w:type="spellStart"/>
      <w:r w:rsidRPr="000D7E69">
        <w:rPr>
          <w:rFonts w:ascii="Helvetica" w:hAnsi="Helvetica"/>
          <w:sz w:val="20"/>
        </w:rPr>
        <w:t>segmentuoti</w:t>
      </w:r>
      <w:proofErr w:type="spellEnd"/>
      <w:r w:rsidRPr="000D7E69">
        <w:rPr>
          <w:rFonts w:ascii="Helvetica" w:hAnsi="Helvetica"/>
          <w:sz w:val="20"/>
        </w:rPr>
        <w:t>, kur kiekviena aptikta GREEN signalo smailė žymi RED bei IR signalų PPG impulso segmento pradžią ir pabaigą.</w:t>
      </w:r>
    </w:p>
    <w:p w14:paraId="78705F74" w14:textId="77777777" w:rsidR="000D7E69" w:rsidRPr="000D7E69" w:rsidRDefault="000D7E69" w:rsidP="000D7E69">
      <w:pPr>
        <w:spacing w:after="0" w:line="360" w:lineRule="auto"/>
        <w:ind w:firstLine="567"/>
        <w:jc w:val="both"/>
        <w:rPr>
          <w:rFonts w:ascii="Helvetica" w:hAnsi="Helvetica"/>
          <w:sz w:val="20"/>
        </w:rPr>
      </w:pPr>
    </w:p>
    <w:p w14:paraId="4A5A77D2" w14:textId="77777777" w:rsidR="000D7E69" w:rsidRPr="000D7E69" w:rsidRDefault="000D7E69" w:rsidP="000D7E69">
      <w:pPr>
        <w:spacing w:after="0" w:line="360" w:lineRule="auto"/>
        <w:ind w:firstLine="567"/>
        <w:jc w:val="both"/>
        <w:rPr>
          <w:rFonts w:ascii="Helvetica" w:hAnsi="Helvetica"/>
          <w:sz w:val="20"/>
        </w:rPr>
      </w:pPr>
      <w:r w:rsidRPr="000D7E69">
        <w:rPr>
          <w:rFonts w:ascii="Helvetica" w:hAnsi="Helvetica"/>
          <w:sz w:val="20"/>
        </w:rPr>
        <w:t xml:space="preserve">3. Būdas pagal 1 arba 2 punktą, kur stiprinimo etapas apima GREEN PPG signalo su didesniu SNR perdavimą į adaptyviojo filtro atskaitos įvestį, kur po tokio išankstinio apdorojimo gaunami RED ir </w:t>
      </w:r>
      <w:proofErr w:type="spellStart"/>
      <w:r w:rsidRPr="000D7E69">
        <w:rPr>
          <w:rFonts w:ascii="Helvetica" w:hAnsi="Helvetica"/>
          <w:sz w:val="20"/>
        </w:rPr>
        <w:t>IR</w:t>
      </w:r>
      <w:proofErr w:type="spellEnd"/>
      <w:r w:rsidRPr="000D7E69">
        <w:rPr>
          <w:rFonts w:ascii="Helvetica" w:hAnsi="Helvetica"/>
          <w:sz w:val="20"/>
        </w:rPr>
        <w:t xml:space="preserve"> PPG signalai, kurių SNR didesnis, nei anksčiau užregistruotų RED ir </w:t>
      </w:r>
      <w:proofErr w:type="spellStart"/>
      <w:r w:rsidRPr="000D7E69">
        <w:rPr>
          <w:rFonts w:ascii="Helvetica" w:hAnsi="Helvetica"/>
          <w:sz w:val="20"/>
        </w:rPr>
        <w:t>IR</w:t>
      </w:r>
      <w:proofErr w:type="spellEnd"/>
      <w:r w:rsidRPr="000D7E69">
        <w:rPr>
          <w:rFonts w:ascii="Helvetica" w:hAnsi="Helvetica"/>
          <w:sz w:val="20"/>
        </w:rPr>
        <w:t xml:space="preserve"> PPG signalų.</w:t>
      </w:r>
    </w:p>
    <w:p w14:paraId="5B52DDA6" w14:textId="77777777" w:rsidR="000D7E69" w:rsidRPr="000D7E69" w:rsidRDefault="000D7E69" w:rsidP="000D7E69">
      <w:pPr>
        <w:spacing w:after="0" w:line="360" w:lineRule="auto"/>
        <w:ind w:firstLine="567"/>
        <w:jc w:val="both"/>
        <w:rPr>
          <w:rFonts w:ascii="Helvetica" w:hAnsi="Helvetica"/>
          <w:sz w:val="20"/>
        </w:rPr>
      </w:pPr>
    </w:p>
    <w:p w14:paraId="0BB3820B" w14:textId="77777777" w:rsidR="000D7E69" w:rsidRPr="000D7E69" w:rsidRDefault="000D7E69" w:rsidP="000D7E69">
      <w:pPr>
        <w:spacing w:after="0" w:line="360" w:lineRule="auto"/>
        <w:ind w:firstLine="567"/>
        <w:jc w:val="both"/>
        <w:rPr>
          <w:rFonts w:ascii="Helvetica" w:hAnsi="Helvetica"/>
          <w:sz w:val="20"/>
        </w:rPr>
      </w:pPr>
      <w:r w:rsidRPr="000D7E69">
        <w:rPr>
          <w:rFonts w:ascii="Helvetica" w:hAnsi="Helvetica"/>
          <w:sz w:val="20"/>
        </w:rPr>
        <w:lastRenderedPageBreak/>
        <w:t>4. Būdas pagal bet kurį ankstesnį punktą, kur šablonas yra fiksuotas, yra tipiško PPG signalo impulso pavidalo, šablonas lyginamas su impulsais, išskirtais iš GREEN signalo, kurie išskiriami smailės aptikimo metu, kur išskirti GREEN impulsai po to palyginami su šablonu, naudojant koreliaciją ir atnaujinant šabloną.</w:t>
      </w:r>
    </w:p>
    <w:p w14:paraId="5A66DCE4" w14:textId="77777777" w:rsidR="000D7E69" w:rsidRPr="000D7E69" w:rsidRDefault="000D7E69" w:rsidP="000D7E69">
      <w:pPr>
        <w:spacing w:after="0" w:line="360" w:lineRule="auto"/>
        <w:ind w:firstLine="567"/>
        <w:jc w:val="both"/>
        <w:rPr>
          <w:rFonts w:ascii="Helvetica" w:hAnsi="Helvetica"/>
          <w:sz w:val="20"/>
        </w:rPr>
      </w:pPr>
    </w:p>
    <w:p w14:paraId="00908FCE" w14:textId="77777777" w:rsidR="000D7E69" w:rsidRPr="000D7E69" w:rsidRDefault="000D7E69" w:rsidP="000D7E69">
      <w:pPr>
        <w:spacing w:after="0" w:line="360" w:lineRule="auto"/>
        <w:ind w:firstLine="567"/>
        <w:jc w:val="both"/>
        <w:rPr>
          <w:rFonts w:ascii="Helvetica" w:hAnsi="Helvetica"/>
          <w:sz w:val="20"/>
        </w:rPr>
      </w:pPr>
      <w:r w:rsidRPr="000D7E69">
        <w:rPr>
          <w:rFonts w:ascii="Helvetica" w:hAnsi="Helvetica"/>
          <w:sz w:val="20"/>
        </w:rPr>
        <w:t>5. Būdas pagal bet kurį pirmesnį punktą, kur kokybė vertinama, apskaičiuojant koreliaciją tarp skleidžiamų impulsų ir GREEN signalo, naudojant imties koreliacijos koeficientą, lyginant su šablonu skleidžiamus PPG impulsus, užtikrinant, kad priimtinais būtų laikomi tik impulsai, kurių koreliacija yra pakankama,</w:t>
      </w:r>
    </w:p>
    <w:p w14:paraId="44E980F7" w14:textId="77777777" w:rsidR="000D7E69" w:rsidRPr="000D7E69" w:rsidRDefault="000D7E69" w:rsidP="000D7E69">
      <w:pPr>
        <w:spacing w:after="0" w:line="360" w:lineRule="auto"/>
        <w:jc w:val="both"/>
        <w:rPr>
          <w:rFonts w:ascii="Helvetica" w:hAnsi="Helvetica"/>
          <w:sz w:val="20"/>
        </w:rPr>
      </w:pPr>
      <w:r w:rsidRPr="000D7E69">
        <w:rPr>
          <w:rFonts w:ascii="Helvetica" w:hAnsi="Helvetica"/>
          <w:sz w:val="20"/>
        </w:rPr>
        <w:t>kur šis gautas signalo kokybės indeksas, kurio vertės gali būti dvi – 1 arba 0, toliau naudojamas apskaičiuojant SpO</w:t>
      </w:r>
      <w:r w:rsidRPr="000D7E69">
        <w:rPr>
          <w:rFonts w:ascii="Helvetica" w:hAnsi="Helvetica"/>
          <w:sz w:val="20"/>
          <w:vertAlign w:val="subscript"/>
        </w:rPr>
        <w:t>2</w:t>
      </w:r>
      <w:r w:rsidRPr="000D7E69">
        <w:rPr>
          <w:rFonts w:ascii="Helvetica" w:hAnsi="Helvetica"/>
          <w:sz w:val="20"/>
        </w:rPr>
        <w:t>: SpO</w:t>
      </w:r>
      <w:r w:rsidRPr="000D7E69">
        <w:rPr>
          <w:rFonts w:ascii="Helvetica" w:hAnsi="Helvetica"/>
          <w:sz w:val="20"/>
          <w:vertAlign w:val="subscript"/>
        </w:rPr>
        <w:t>2</w:t>
      </w:r>
      <w:r w:rsidRPr="000D7E69">
        <w:rPr>
          <w:rFonts w:ascii="Helvetica" w:hAnsi="Helvetica"/>
          <w:sz w:val="20"/>
        </w:rPr>
        <w:t xml:space="preserve"> apskaičiuoti pagal [1] formulę naudojamos tik pakankamai kokybiškų impulsų, kurių koreliacijos vertė didesnė nei 0,7, savybės,</w:t>
      </w:r>
    </w:p>
    <w:p w14:paraId="6356567D" w14:textId="4A382A74" w:rsidR="000D7E69" w:rsidRPr="000D7E69" w:rsidRDefault="000D7E69" w:rsidP="000D7E69">
      <w:pPr>
        <w:spacing w:after="0" w:line="360" w:lineRule="auto"/>
        <w:jc w:val="center"/>
        <w:rPr>
          <w:rFonts w:ascii="Helvetica" w:hAnsi="Helvetica"/>
          <w:sz w:val="20"/>
        </w:rPr>
      </w:pPr>
      <w:r w:rsidRPr="000D7E69">
        <w:rPr>
          <w:rFonts w:ascii="Helvetica" w:hAnsi="Helvetica"/>
          <w:noProof/>
          <w:sz w:val="20"/>
        </w:rPr>
        <w:drawing>
          <wp:inline distT="0" distB="0" distL="0" distR="0" wp14:anchorId="67C17D27" wp14:editId="04EB3948">
            <wp:extent cx="1381125" cy="885825"/>
            <wp:effectExtent l="0" t="0" r="9525" b="9525"/>
            <wp:docPr id="1197906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90647" name=""/>
                    <pic:cNvPicPr/>
                  </pic:nvPicPr>
                  <pic:blipFill>
                    <a:blip r:embed="rId6"/>
                    <a:stretch>
                      <a:fillRect/>
                    </a:stretch>
                  </pic:blipFill>
                  <pic:spPr>
                    <a:xfrm>
                      <a:off x="0" y="0"/>
                      <a:ext cx="1381125" cy="885825"/>
                    </a:xfrm>
                    <a:prstGeom prst="rect">
                      <a:avLst/>
                    </a:prstGeom>
                  </pic:spPr>
                </pic:pic>
              </a:graphicData>
            </a:graphic>
          </wp:inline>
        </w:drawing>
      </w:r>
    </w:p>
    <w:p w14:paraId="1141D2E2" w14:textId="77777777" w:rsidR="000D7E69" w:rsidRPr="000D7E69" w:rsidRDefault="000D7E69" w:rsidP="000D7E69">
      <w:pPr>
        <w:spacing w:after="0" w:line="360" w:lineRule="auto"/>
        <w:jc w:val="both"/>
        <w:rPr>
          <w:rFonts w:ascii="Helvetica" w:hAnsi="Helvetica"/>
          <w:sz w:val="20"/>
        </w:rPr>
      </w:pPr>
      <w:r w:rsidRPr="000D7E69">
        <w:rPr>
          <w:rFonts w:ascii="Helvetica" w:hAnsi="Helvetica"/>
          <w:sz w:val="20"/>
        </w:rPr>
        <w:t xml:space="preserve">kur R – RED FPG signalo kintamos ir nuolatinės dedamųjų santykio bei IR FPG signalo kintamos ir nuolatinės dedamųjų santykio santykis, </w:t>
      </w:r>
      <w:r w:rsidRPr="000D7E69">
        <w:rPr>
          <w:rFonts w:ascii="Helvetica" w:hAnsi="Helvetica" w:cs="Cambria Math"/>
          <w:sz w:val="20"/>
        </w:rPr>
        <w:t>𝐴𝐶</w:t>
      </w:r>
      <w:r w:rsidRPr="000D7E69">
        <w:rPr>
          <w:rFonts w:ascii="Helvetica" w:hAnsi="Helvetica"/>
          <w:sz w:val="20"/>
        </w:rPr>
        <w:t xml:space="preserve">R ir </w:t>
      </w:r>
      <w:r w:rsidRPr="000D7E69">
        <w:rPr>
          <w:rFonts w:ascii="Helvetica" w:hAnsi="Helvetica" w:cs="Cambria Math"/>
          <w:sz w:val="20"/>
        </w:rPr>
        <w:t>𝐴𝐶</w:t>
      </w:r>
      <w:r w:rsidRPr="000D7E69">
        <w:rPr>
          <w:rFonts w:ascii="Helvetica" w:hAnsi="Helvetica"/>
          <w:sz w:val="20"/>
        </w:rPr>
        <w:t xml:space="preserve">IR – kintamos raudonųjų ir infraraudonųjų FPG signalų dedamosios, </w:t>
      </w:r>
      <w:r w:rsidRPr="000D7E69">
        <w:rPr>
          <w:rFonts w:ascii="Helvetica" w:hAnsi="Helvetica" w:cs="Cambria Math"/>
          <w:sz w:val="20"/>
        </w:rPr>
        <w:t>𝐷𝐶</w:t>
      </w:r>
      <w:r w:rsidRPr="000D7E69">
        <w:rPr>
          <w:rFonts w:ascii="Helvetica" w:hAnsi="Helvetica"/>
          <w:sz w:val="20"/>
        </w:rPr>
        <w:t xml:space="preserve">R ir </w:t>
      </w:r>
      <w:r w:rsidRPr="000D7E69">
        <w:rPr>
          <w:rFonts w:ascii="Helvetica" w:hAnsi="Helvetica" w:cs="Cambria Math"/>
          <w:sz w:val="20"/>
        </w:rPr>
        <w:t>𝐷𝐶</w:t>
      </w:r>
      <w:r w:rsidRPr="000D7E69">
        <w:rPr>
          <w:rFonts w:ascii="Helvetica" w:hAnsi="Helvetica"/>
          <w:sz w:val="20"/>
        </w:rPr>
        <w:t>IR – nekintamos raudonųjų ir infraraudonųjų FPG signalų dedamosios.</w:t>
      </w:r>
    </w:p>
    <w:p w14:paraId="05B0F9E8" w14:textId="77777777" w:rsidR="000D7E69" w:rsidRPr="000D7E69" w:rsidRDefault="000D7E69" w:rsidP="000D7E69">
      <w:pPr>
        <w:spacing w:after="0" w:line="360" w:lineRule="auto"/>
        <w:jc w:val="both"/>
        <w:rPr>
          <w:rFonts w:ascii="Helvetica" w:hAnsi="Helvetica"/>
          <w:sz w:val="20"/>
        </w:rPr>
      </w:pPr>
    </w:p>
    <w:p w14:paraId="59A2836F" w14:textId="2543E685" w:rsidR="0018473C" w:rsidRPr="000D7E69" w:rsidRDefault="000D7E69" w:rsidP="000D7E69">
      <w:pPr>
        <w:spacing w:after="0" w:line="360" w:lineRule="auto"/>
        <w:ind w:firstLine="567"/>
        <w:jc w:val="both"/>
        <w:rPr>
          <w:rFonts w:ascii="Helvetica" w:hAnsi="Helvetica"/>
          <w:sz w:val="20"/>
        </w:rPr>
      </w:pPr>
      <w:r w:rsidRPr="000D7E69">
        <w:rPr>
          <w:rFonts w:ascii="Helvetica" w:hAnsi="Helvetica"/>
          <w:sz w:val="20"/>
        </w:rPr>
        <w:t>6. Būdas pagal bet kurį ankstesnį punktą, papildomai apimantis eksponentinių tendencijų filtro naudojimą, skirtą raudonųjų bei infraraudonųjų FPG signalų kintamosios ir nuolatinės srovės santykiams apdoroti signalo bendrajai tendencijai izoliuoti, išvengiant staigių signalo pokyčių.</w:t>
      </w:r>
    </w:p>
    <w:sectPr w:rsidR="0018473C" w:rsidRPr="000D7E69" w:rsidSect="000D7E69">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1C286B" w14:textId="77777777" w:rsidR="000D7E69" w:rsidRDefault="000D7E69" w:rsidP="000D7E69">
      <w:pPr>
        <w:spacing w:after="0" w:line="240" w:lineRule="auto"/>
      </w:pPr>
      <w:r>
        <w:separator/>
      </w:r>
    </w:p>
  </w:endnote>
  <w:endnote w:type="continuationSeparator" w:id="0">
    <w:p w14:paraId="09E95A4D" w14:textId="77777777" w:rsidR="000D7E69" w:rsidRDefault="000D7E69" w:rsidP="000D7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97040F" w14:textId="77777777" w:rsidR="000D7E69" w:rsidRDefault="000D7E69" w:rsidP="000D7E69">
      <w:pPr>
        <w:spacing w:after="0" w:line="240" w:lineRule="auto"/>
      </w:pPr>
      <w:r>
        <w:separator/>
      </w:r>
    </w:p>
  </w:footnote>
  <w:footnote w:type="continuationSeparator" w:id="0">
    <w:p w14:paraId="206864B8" w14:textId="77777777" w:rsidR="000D7E69" w:rsidRDefault="000D7E69" w:rsidP="000D7E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33"/>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E69"/>
    <w:rsid w:val="0000726D"/>
    <w:rsid w:val="000657CC"/>
    <w:rsid w:val="00091494"/>
    <w:rsid w:val="000B1DE7"/>
    <w:rsid w:val="000D7E69"/>
    <w:rsid w:val="00100598"/>
    <w:rsid w:val="001340E0"/>
    <w:rsid w:val="00142022"/>
    <w:rsid w:val="0018473C"/>
    <w:rsid w:val="001A66DC"/>
    <w:rsid w:val="001D55F6"/>
    <w:rsid w:val="00220F37"/>
    <w:rsid w:val="00276E95"/>
    <w:rsid w:val="0028658E"/>
    <w:rsid w:val="002C447F"/>
    <w:rsid w:val="002D2F3D"/>
    <w:rsid w:val="002F3283"/>
    <w:rsid w:val="002F48DF"/>
    <w:rsid w:val="003157EF"/>
    <w:rsid w:val="003215A7"/>
    <w:rsid w:val="003221D8"/>
    <w:rsid w:val="003315F6"/>
    <w:rsid w:val="0033564B"/>
    <w:rsid w:val="00353E76"/>
    <w:rsid w:val="0036065D"/>
    <w:rsid w:val="003A00DC"/>
    <w:rsid w:val="003C2A5A"/>
    <w:rsid w:val="003C4F3F"/>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030F2C"/>
  <w15:chartTrackingRefBased/>
  <w15:docId w15:val="{8C200CCD-417E-4C9F-A500-8830D054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0D7E69"/>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0D7E69"/>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0D7E69"/>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0D7E69"/>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0D7E69"/>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0D7E69"/>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0D7E69"/>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0D7E69"/>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0D7E69"/>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E6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D7E6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D7E6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D7E69"/>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0D7E69"/>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0D7E69"/>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0D7E69"/>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0D7E69"/>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0D7E69"/>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0D7E69"/>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0D7E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E69"/>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0D7E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E69"/>
    <w:pPr>
      <w:spacing w:before="160"/>
      <w:jc w:val="center"/>
    </w:pPr>
    <w:rPr>
      <w:i/>
      <w:iCs/>
      <w:color w:val="404040" w:themeColor="text1" w:themeTint="BF"/>
    </w:rPr>
  </w:style>
  <w:style w:type="character" w:customStyle="1" w:styleId="QuoteChar">
    <w:name w:val="Quote Char"/>
    <w:basedOn w:val="DefaultParagraphFont"/>
    <w:link w:val="Quote"/>
    <w:uiPriority w:val="29"/>
    <w:rsid w:val="000D7E69"/>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0D7E69"/>
    <w:pPr>
      <w:ind w:left="720"/>
      <w:contextualSpacing/>
    </w:pPr>
  </w:style>
  <w:style w:type="character" w:styleId="IntenseEmphasis">
    <w:name w:val="Intense Emphasis"/>
    <w:basedOn w:val="DefaultParagraphFont"/>
    <w:uiPriority w:val="21"/>
    <w:qFormat/>
    <w:rsid w:val="000D7E69"/>
    <w:rPr>
      <w:i/>
      <w:iCs/>
      <w:color w:val="365F91" w:themeColor="accent1" w:themeShade="BF"/>
    </w:rPr>
  </w:style>
  <w:style w:type="paragraph" w:styleId="IntenseQuote">
    <w:name w:val="Intense Quote"/>
    <w:basedOn w:val="Normal"/>
    <w:next w:val="Normal"/>
    <w:link w:val="IntenseQuoteChar"/>
    <w:uiPriority w:val="30"/>
    <w:qFormat/>
    <w:rsid w:val="000D7E6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D7E69"/>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0D7E69"/>
    <w:rPr>
      <w:b/>
      <w:bCs/>
      <w:smallCaps/>
      <w:color w:val="365F91" w:themeColor="accent1" w:themeShade="BF"/>
      <w:spacing w:val="5"/>
    </w:rPr>
  </w:style>
  <w:style w:type="paragraph" w:styleId="Header">
    <w:name w:val="header"/>
    <w:basedOn w:val="Normal"/>
    <w:link w:val="HeaderChar"/>
    <w:uiPriority w:val="99"/>
    <w:unhideWhenUsed/>
    <w:rsid w:val="000D7E69"/>
    <w:pPr>
      <w:tabs>
        <w:tab w:val="center" w:pos="4819"/>
        <w:tab w:val="right" w:pos="9638"/>
      </w:tabs>
      <w:spacing w:after="0" w:line="240" w:lineRule="auto"/>
    </w:pPr>
  </w:style>
  <w:style w:type="character" w:customStyle="1" w:styleId="HeaderChar">
    <w:name w:val="Header Char"/>
    <w:basedOn w:val="DefaultParagraphFont"/>
    <w:link w:val="Header"/>
    <w:uiPriority w:val="99"/>
    <w:rsid w:val="000D7E69"/>
    <w:rPr>
      <w:rFonts w:asciiTheme="majorBidi" w:hAnsiTheme="majorBidi" w:cstheme="majorBidi"/>
      <w:sz w:val="24"/>
      <w:szCs w:val="24"/>
    </w:rPr>
  </w:style>
  <w:style w:type="paragraph" w:styleId="Footer">
    <w:name w:val="footer"/>
    <w:basedOn w:val="Normal"/>
    <w:link w:val="FooterChar"/>
    <w:uiPriority w:val="99"/>
    <w:unhideWhenUsed/>
    <w:rsid w:val="000D7E69"/>
    <w:pPr>
      <w:tabs>
        <w:tab w:val="center" w:pos="4819"/>
        <w:tab w:val="right" w:pos="9638"/>
      </w:tabs>
      <w:spacing w:after="0" w:line="240" w:lineRule="auto"/>
    </w:pPr>
  </w:style>
  <w:style w:type="character" w:customStyle="1" w:styleId="FooterChar">
    <w:name w:val="Footer Char"/>
    <w:basedOn w:val="DefaultParagraphFont"/>
    <w:link w:val="Footer"/>
    <w:uiPriority w:val="99"/>
    <w:rsid w:val="000D7E69"/>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713</Words>
  <Characters>4634</Characters>
  <Application>Microsoft Office Word</Application>
  <DocSecurity>0</DocSecurity>
  <Lines>65</Lines>
  <Paragraphs>19</Paragraphs>
  <ScaleCrop>false</ScaleCrop>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2024-10-24T08:30:00Z</dcterms:created>
  <dcterms:modified xsi:type="dcterms:W3CDTF">2024-10-24T08:34:00Z</dcterms:modified>
</cp:coreProperties>
</file>